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1B3381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1B338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1B338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1B3381" w:rsidRDefault="002234A3" w:rsidP="002234A3">
      <w:pPr>
        <w:rPr>
          <w:rFonts w:ascii="Trebuchet MS" w:hAnsi="Trebuchet MS"/>
        </w:rPr>
      </w:pPr>
      <w:r w:rsidRPr="001B3381">
        <w:rPr>
          <w:rFonts w:ascii="Trebuchet MS" w:hAnsi="Trebuchet MS"/>
        </w:rPr>
        <w:t xml:space="preserve">  </w:t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  <w:t>COMUNICAT DE PRESĂ</w:t>
      </w:r>
    </w:p>
    <w:p w:rsidR="00E02EB4" w:rsidRPr="001B3381" w:rsidRDefault="00E02EB4" w:rsidP="002234A3"/>
    <w:p w:rsidR="00BC280F" w:rsidRDefault="00D90E84" w:rsidP="00734A8F">
      <w:pPr>
        <w:spacing w:before="0"/>
        <w:rPr>
          <w:rFonts w:ascii="Trebuchet MS" w:eastAsia="MS Mincho" w:hAnsi="Trebuchet MS"/>
          <w:sz w:val="20"/>
          <w:szCs w:val="20"/>
        </w:rPr>
      </w:pPr>
      <w:r w:rsidRPr="00BD45D8">
        <w:rPr>
          <w:rFonts w:ascii="Trebuchet MS" w:hAnsi="Trebuchet MS"/>
          <w:sz w:val="20"/>
          <w:szCs w:val="20"/>
        </w:rPr>
        <w:t xml:space="preserve">Prin Decizia Directorului General al </w:t>
      </w:r>
      <w:r w:rsidRPr="00BD45D8">
        <w:rPr>
          <w:rFonts w:ascii="Trebuchet MS" w:hAnsi="Trebuchet MS"/>
          <w:bCs/>
          <w:sz w:val="20"/>
          <w:szCs w:val="20"/>
        </w:rPr>
        <w:t>Organismului Intermediar pentru Transport</w:t>
      </w:r>
      <w:r w:rsidRPr="00BD45D8">
        <w:rPr>
          <w:rFonts w:ascii="Trebuchet MS" w:hAnsi="Trebuchet MS"/>
          <w:sz w:val="20"/>
          <w:szCs w:val="20"/>
        </w:rPr>
        <w:t xml:space="preserve"> nr. </w:t>
      </w:r>
      <w:r w:rsidR="00DA4759" w:rsidRPr="00BD45D8">
        <w:rPr>
          <w:rFonts w:ascii="Trebuchet MS" w:hAnsi="Trebuchet MS"/>
          <w:sz w:val="20"/>
          <w:szCs w:val="20"/>
        </w:rPr>
        <w:t xml:space="preserve">  </w:t>
      </w:r>
      <w:r w:rsidR="00685FFF">
        <w:rPr>
          <w:rFonts w:ascii="Trebuchet MS" w:hAnsi="Trebuchet MS"/>
          <w:sz w:val="20"/>
          <w:szCs w:val="20"/>
        </w:rPr>
        <w:t xml:space="preserve">105/17.12.2020 </w:t>
      </w:r>
      <w:bookmarkStart w:id="0" w:name="_GoBack"/>
      <w:bookmarkEnd w:id="0"/>
      <w:r w:rsidR="00BE39F6" w:rsidRPr="00734A8F">
        <w:rPr>
          <w:rFonts w:ascii="Trebuchet MS" w:hAnsi="Trebuchet MS"/>
          <w:sz w:val="20"/>
          <w:szCs w:val="20"/>
        </w:rPr>
        <w:t xml:space="preserve">a fost </w:t>
      </w:r>
      <w:r w:rsidR="00BE39F6" w:rsidRPr="00734A8F">
        <w:rPr>
          <w:rFonts w:ascii="Trebuchet MS" w:eastAsia="MS Mincho" w:hAnsi="Trebuchet MS"/>
          <w:sz w:val="20"/>
          <w:szCs w:val="20"/>
        </w:rPr>
        <w:t>aprobat</w:t>
      </w:r>
      <w:r w:rsidR="00F12C2E" w:rsidRPr="00734A8F">
        <w:rPr>
          <w:rFonts w:ascii="Trebuchet MS" w:eastAsia="MS Mincho" w:hAnsi="Trebuchet MS"/>
          <w:sz w:val="20"/>
          <w:szCs w:val="20"/>
        </w:rPr>
        <w:t>ă revizuirea</w:t>
      </w:r>
      <w:r w:rsidR="00BE39F6" w:rsidRPr="00734A8F">
        <w:rPr>
          <w:rFonts w:ascii="Trebuchet MS" w:eastAsia="MS Mincho" w:hAnsi="Trebuchet MS"/>
          <w:sz w:val="20"/>
          <w:szCs w:val="20"/>
        </w:rPr>
        <w:t xml:space="preserve"> </w:t>
      </w:r>
      <w:r w:rsidR="00560E05" w:rsidRPr="00560E05">
        <w:rPr>
          <w:rFonts w:ascii="Trebuchet MS" w:eastAsia="MS Mincho" w:hAnsi="Trebuchet MS"/>
          <w:sz w:val="20"/>
          <w:szCs w:val="20"/>
        </w:rPr>
        <w:t>Ghidul</w:t>
      </w:r>
      <w:r w:rsidR="00A63E42">
        <w:rPr>
          <w:rFonts w:ascii="Trebuchet MS" w:eastAsia="MS Mincho" w:hAnsi="Trebuchet MS"/>
          <w:sz w:val="20"/>
          <w:szCs w:val="20"/>
        </w:rPr>
        <w:t>ui</w:t>
      </w:r>
      <w:r w:rsidR="00560E05" w:rsidRPr="00560E05">
        <w:rPr>
          <w:rFonts w:ascii="Trebuchet MS" w:eastAsia="MS Mincho" w:hAnsi="Trebuchet MS"/>
          <w:sz w:val="20"/>
          <w:szCs w:val="20"/>
        </w:rPr>
        <w:t xml:space="preserve"> Solicitantului pentru îmbunătățirea condițiilor de navigație, dezvoltarea infrastructurii si suprastructurii portuare și a infrastructurii locale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intermodale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>/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multimodale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aferent Obiectivului Specific 1.3 (O.S.)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Creşterea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gradului de utilizare a căilor navigabile și a porturilor situ</w:t>
      </w:r>
      <w:r w:rsidR="00560E05">
        <w:rPr>
          <w:rFonts w:ascii="Trebuchet MS" w:eastAsia="MS Mincho" w:hAnsi="Trebuchet MS"/>
          <w:sz w:val="20"/>
          <w:szCs w:val="20"/>
        </w:rPr>
        <w:t xml:space="preserve">ate pe </w:t>
      </w:r>
      <w:proofErr w:type="spellStart"/>
      <w:r w:rsidR="00560E05">
        <w:rPr>
          <w:rFonts w:ascii="Trebuchet MS" w:eastAsia="MS Mincho" w:hAnsi="Trebuchet MS"/>
          <w:sz w:val="20"/>
          <w:szCs w:val="20"/>
        </w:rPr>
        <w:t>reţeaua</w:t>
      </w:r>
      <w:proofErr w:type="spellEnd"/>
      <w:r w:rsidR="00560E05">
        <w:rPr>
          <w:rFonts w:ascii="Trebuchet MS" w:eastAsia="MS Mincho" w:hAnsi="Trebuchet MS"/>
          <w:sz w:val="20"/>
          <w:szCs w:val="20"/>
        </w:rPr>
        <w:t xml:space="preserve"> TEN-T centrală, </w:t>
      </w:r>
      <w:r w:rsidR="00560E05" w:rsidRPr="00560E05">
        <w:rPr>
          <w:rFonts w:ascii="Trebuchet MS" w:eastAsia="MS Mincho" w:hAnsi="Trebuchet MS"/>
          <w:sz w:val="20"/>
          <w:szCs w:val="20"/>
        </w:rPr>
        <w:t>din cadrul Axei Prioritare 1 (A.P) „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Îmbunătăţirea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mobilităţii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prin dezvoltarea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reţelei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TEN-T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şi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a transportului cu metroul” și Obiectivul Specific 2.4 (O.S.)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Creşterea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volumului de mărfuri tranzitate prin terminale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intermodale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şi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porturi din cadrul Axei Prioritare 2 (A.P.) „Dezvoltarea unui sistem de transport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multimodal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, de calitate, durabil </w:t>
      </w:r>
      <w:proofErr w:type="spellStart"/>
      <w:r w:rsidR="00560E05" w:rsidRPr="00560E05">
        <w:rPr>
          <w:rFonts w:ascii="Trebuchet MS" w:eastAsia="MS Mincho" w:hAnsi="Trebuchet MS"/>
          <w:sz w:val="20"/>
          <w:szCs w:val="20"/>
        </w:rPr>
        <w:t>şi</w:t>
      </w:r>
      <w:proofErr w:type="spellEnd"/>
      <w:r w:rsidR="00560E05" w:rsidRPr="00560E05">
        <w:rPr>
          <w:rFonts w:ascii="Trebuchet MS" w:eastAsia="MS Mincho" w:hAnsi="Trebuchet MS"/>
          <w:sz w:val="20"/>
          <w:szCs w:val="20"/>
        </w:rPr>
        <w:t xml:space="preserve"> eficient”</w:t>
      </w:r>
    </w:p>
    <w:p w:rsidR="00560E05" w:rsidRDefault="00560E05" w:rsidP="00734A8F">
      <w:pPr>
        <w:spacing w:before="0"/>
        <w:rPr>
          <w:rFonts w:ascii="Trebuchet MS" w:eastAsia="MS Mincho" w:hAnsi="Trebuchet MS"/>
          <w:bCs/>
          <w:sz w:val="20"/>
          <w:szCs w:val="20"/>
        </w:rPr>
      </w:pPr>
    </w:p>
    <w:p w:rsidR="00CE119B" w:rsidRPr="00734A8F" w:rsidRDefault="00CE119B" w:rsidP="00734A8F">
      <w:pPr>
        <w:spacing w:before="0"/>
        <w:rPr>
          <w:rFonts w:ascii="Trebuchet MS" w:eastAsia="MS Mincho" w:hAnsi="Trebuchet MS"/>
          <w:bCs/>
          <w:sz w:val="20"/>
          <w:szCs w:val="20"/>
        </w:rPr>
      </w:pPr>
      <w:r w:rsidRPr="00734A8F">
        <w:rPr>
          <w:rFonts w:ascii="Trebuchet MS" w:eastAsia="MS Mincho" w:hAnsi="Trebuchet MS"/>
          <w:bCs/>
          <w:sz w:val="20"/>
          <w:szCs w:val="20"/>
        </w:rPr>
        <w:t xml:space="preserve">Ghidul Solicitantului împreună cu anexele aferente sunt disponibile pe site-ul www.mt.ro la secțiunea Organismul Intermediar pentru Transport. </w:t>
      </w:r>
    </w:p>
    <w:p w:rsidR="00CE271A" w:rsidRDefault="00CE271A" w:rsidP="00734A8F">
      <w:pPr>
        <w:spacing w:before="0"/>
        <w:rPr>
          <w:rFonts w:ascii="Trebuchet MS" w:hAnsi="Trebuchet MS"/>
          <w:bCs/>
          <w:sz w:val="20"/>
          <w:szCs w:val="20"/>
        </w:rPr>
      </w:pPr>
      <w:r w:rsidRPr="00734A8F">
        <w:rPr>
          <w:rFonts w:ascii="Trebuchet MS" w:hAnsi="Trebuchet MS"/>
          <w:bCs/>
          <w:sz w:val="20"/>
          <w:szCs w:val="20"/>
        </w:rPr>
        <w:t xml:space="preserve">Astfel, ținând cont de prevederile Procedurii operaționale evaluarea, selecția și contractarea proiectelor, cod PO-28.01, </w:t>
      </w:r>
      <w:proofErr w:type="spellStart"/>
      <w:r w:rsidRPr="00734A8F">
        <w:rPr>
          <w:rFonts w:ascii="Trebuchet MS" w:hAnsi="Trebuchet MS"/>
          <w:bCs/>
          <w:sz w:val="20"/>
          <w:szCs w:val="20"/>
        </w:rPr>
        <w:t>Ed.I</w:t>
      </w:r>
      <w:proofErr w:type="spellEnd"/>
      <w:r w:rsidRPr="00734A8F">
        <w:rPr>
          <w:rFonts w:ascii="Trebuchet MS" w:hAnsi="Trebuchet MS"/>
          <w:bCs/>
          <w:sz w:val="20"/>
          <w:szCs w:val="20"/>
        </w:rPr>
        <w:t xml:space="preserve">, Rev.2, </w:t>
      </w:r>
      <w:r w:rsidR="00513A26" w:rsidRPr="00734A8F">
        <w:rPr>
          <w:rFonts w:ascii="Trebuchet MS" w:hAnsi="Trebuchet MS"/>
          <w:bCs/>
          <w:sz w:val="20"/>
          <w:szCs w:val="20"/>
        </w:rPr>
        <w:t>au fost operate</w:t>
      </w:r>
      <w:r w:rsidRPr="00734A8F">
        <w:rPr>
          <w:rFonts w:ascii="Trebuchet MS" w:hAnsi="Trebuchet MS"/>
          <w:bCs/>
          <w:sz w:val="20"/>
          <w:szCs w:val="20"/>
        </w:rPr>
        <w:t xml:space="preserve"> următoarele modificări:</w:t>
      </w:r>
    </w:p>
    <w:p w:rsidR="001F682C" w:rsidRPr="00734A8F" w:rsidRDefault="001F682C" w:rsidP="00734A8F">
      <w:pPr>
        <w:spacing w:before="0"/>
        <w:rPr>
          <w:rFonts w:ascii="Trebuchet MS" w:hAnsi="Trebuchet MS"/>
          <w:bCs/>
          <w:sz w:val="20"/>
          <w:szCs w:val="20"/>
        </w:rPr>
      </w:pP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1.2 Tipul apelurilor de proiecte și perioada de depunere a propunerilor de proiecte 2.3 Eligibilitatea cheltuielilor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1.3.1 Acțiunile finanțabile conform POIM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1.3.2 Activități finanțabile în cadrul O.S. 1.3, 2.4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1.7</w:t>
      </w:r>
      <w:r w:rsidRPr="001F682C">
        <w:rPr>
          <w:rFonts w:ascii="Trebuchet MS" w:eastAsia="MS Mincho" w:hAnsi="Trebuchet MS" w:cs="Calibri"/>
          <w:i/>
          <w:sz w:val="20"/>
          <w:szCs w:val="20"/>
        </w:rPr>
        <w:tab/>
        <w:t>Alocarea stabilită pentru apelurile de proiecte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2.2.1 Reguli de eligibilitate pentru proiectele noi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2.3 Eligibilitatea cheltuielilor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3.2.1 Studiu de fezabilitate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Anexa 2 - Fișă de control a cererii de finanțare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Anexa 9 – Schema de ajutor de stat</w:t>
      </w:r>
    </w:p>
    <w:p w:rsidR="001F682C" w:rsidRPr="001F682C" w:rsidRDefault="001F682C" w:rsidP="001F682C">
      <w:pPr>
        <w:numPr>
          <w:ilvl w:val="0"/>
          <w:numId w:val="3"/>
        </w:numPr>
        <w:spacing w:before="0" w:after="120" w:line="240" w:lineRule="auto"/>
        <w:ind w:left="1800"/>
        <w:rPr>
          <w:rFonts w:ascii="Trebuchet MS" w:eastAsia="MS Mincho" w:hAnsi="Trebuchet MS" w:cs="Calibri"/>
          <w:i/>
          <w:sz w:val="20"/>
          <w:szCs w:val="20"/>
        </w:rPr>
      </w:pPr>
      <w:r w:rsidRPr="001F682C">
        <w:rPr>
          <w:rFonts w:ascii="Trebuchet MS" w:eastAsia="MS Mincho" w:hAnsi="Trebuchet MS" w:cs="Calibri"/>
          <w:i/>
          <w:sz w:val="20"/>
          <w:szCs w:val="20"/>
        </w:rPr>
        <w:t>În plus, se introduce Anexa 13 - Metodologie verificare întreprindere în dificultate și Anexa 14 - Lista de verificare și evaluare a întreprinderilor în dificultate, în vederea implementării recomandărilor din Raportul de audit nr. 61389/DV/19.07.2018.</w:t>
      </w:r>
    </w:p>
    <w:p w:rsidR="001F682C" w:rsidRPr="001F682C" w:rsidRDefault="001F682C" w:rsidP="001F682C">
      <w:pPr>
        <w:spacing w:before="0" w:after="120" w:line="276" w:lineRule="auto"/>
        <w:ind w:left="529" w:right="-27"/>
        <w:contextualSpacing/>
        <w:rPr>
          <w:rFonts w:ascii="Trebuchet MS" w:hAnsi="Trebuchet MS"/>
          <w:bCs/>
          <w:i/>
          <w:iCs/>
          <w:sz w:val="20"/>
          <w:szCs w:val="20"/>
        </w:rPr>
      </w:pPr>
    </w:p>
    <w:p w:rsidR="00560E05" w:rsidRDefault="00560E05" w:rsidP="00560E05">
      <w:pPr>
        <w:spacing w:before="0"/>
        <w:rPr>
          <w:rFonts w:ascii="Trebuchet MS" w:hAnsi="Trebuchet MS"/>
          <w:bCs/>
          <w:sz w:val="20"/>
          <w:szCs w:val="20"/>
        </w:rPr>
      </w:pPr>
    </w:p>
    <w:p w:rsidR="001F682C" w:rsidRPr="00734A8F" w:rsidRDefault="001F682C" w:rsidP="00560E05">
      <w:pPr>
        <w:spacing w:before="0"/>
        <w:rPr>
          <w:rFonts w:ascii="Trebuchet MS" w:hAnsi="Trebuchet MS"/>
          <w:bCs/>
          <w:sz w:val="20"/>
          <w:szCs w:val="20"/>
        </w:rPr>
      </w:pPr>
    </w:p>
    <w:p w:rsidR="00B038F6" w:rsidRDefault="00A27B06" w:rsidP="00734A8F">
      <w:pPr>
        <w:spacing w:before="0"/>
        <w:rPr>
          <w:rFonts w:ascii="Trebuchet MS" w:hAnsi="Trebuchet MS"/>
          <w:iCs/>
          <w:sz w:val="20"/>
          <w:szCs w:val="20"/>
        </w:rPr>
      </w:pPr>
      <w:r w:rsidRPr="00734A8F">
        <w:rPr>
          <w:rFonts w:ascii="Trebuchet MS" w:hAnsi="Trebuchet MS"/>
          <w:sz w:val="20"/>
          <w:szCs w:val="20"/>
        </w:rPr>
        <w:t>Programul Operațional Infrastructură Mare</w:t>
      </w:r>
      <w:r w:rsidR="002234A3" w:rsidRPr="00734A8F">
        <w:rPr>
          <w:rFonts w:ascii="Trebuchet MS" w:hAnsi="Trebuchet MS"/>
          <w:sz w:val="20"/>
          <w:szCs w:val="20"/>
        </w:rPr>
        <w:t xml:space="preserve"> este unul dintre cele 7 programe operaționale din generația 2014-2020 implementate în România, cofinanțate din fondurile europene structurale și de investiții</w:t>
      </w:r>
      <w:r w:rsidR="00774D51" w:rsidRPr="00734A8F">
        <w:rPr>
          <w:rFonts w:ascii="Trebuchet MS" w:hAnsi="Trebuchet MS"/>
          <w:sz w:val="20"/>
          <w:szCs w:val="20"/>
        </w:rPr>
        <w:t xml:space="preserve">. Programul este </w:t>
      </w:r>
      <w:r w:rsidR="00B038F6" w:rsidRPr="00734A8F">
        <w:rPr>
          <w:rFonts w:ascii="Trebuchet MS" w:hAnsi="Trebuchet MS"/>
          <w:sz w:val="20"/>
          <w:szCs w:val="20"/>
        </w:rPr>
        <w:t xml:space="preserve">gestionat de AM POIM din cadrul </w:t>
      </w:r>
      <w:r w:rsidR="00B038F6" w:rsidRPr="00734A8F">
        <w:rPr>
          <w:rFonts w:ascii="Trebuchet MS" w:hAnsi="Trebuchet MS"/>
          <w:iCs/>
          <w:sz w:val="20"/>
          <w:szCs w:val="20"/>
        </w:rPr>
        <w:t>Ministerului</w:t>
      </w:r>
      <w:r w:rsidR="00B038F6" w:rsidRPr="00734A8F">
        <w:rPr>
          <w:rFonts w:ascii="Trebuchet MS" w:hAnsi="Trebuchet MS"/>
          <w:bCs/>
          <w:iCs/>
          <w:sz w:val="20"/>
          <w:szCs w:val="20"/>
        </w:rPr>
        <w:t xml:space="preserve"> </w:t>
      </w:r>
      <w:r w:rsidR="00B038F6" w:rsidRPr="00734A8F">
        <w:rPr>
          <w:rFonts w:ascii="Trebuchet MS" w:hAnsi="Trebuchet MS"/>
          <w:iCs/>
          <w:sz w:val="20"/>
          <w:szCs w:val="20"/>
        </w:rPr>
        <w:t>Fondurilor Europene în calitate de Autoritatea de management pentru POIM 2014-2020.</w:t>
      </w:r>
    </w:p>
    <w:p w:rsidR="00560E05" w:rsidRPr="00734A8F" w:rsidRDefault="00560E05" w:rsidP="00734A8F">
      <w:pPr>
        <w:spacing w:before="0"/>
        <w:rPr>
          <w:rFonts w:ascii="Trebuchet MS" w:hAnsi="Trebuchet MS"/>
          <w:sz w:val="20"/>
          <w:szCs w:val="20"/>
        </w:rPr>
      </w:pPr>
    </w:p>
    <w:p w:rsidR="00774D51" w:rsidRPr="00734A8F" w:rsidRDefault="00E660B4" w:rsidP="00734A8F">
      <w:pPr>
        <w:spacing w:before="0"/>
        <w:rPr>
          <w:rFonts w:ascii="Trebuchet MS" w:hAnsi="Trebuchet MS"/>
          <w:sz w:val="20"/>
          <w:szCs w:val="20"/>
        </w:rPr>
      </w:pPr>
      <w:r w:rsidRPr="00734A8F">
        <w:rPr>
          <w:rFonts w:ascii="Trebuchet MS" w:hAnsi="Trebuchet MS"/>
          <w:sz w:val="20"/>
          <w:szCs w:val="20"/>
        </w:rPr>
        <w:t>Direcția</w:t>
      </w:r>
      <w:r w:rsidR="00B038F6" w:rsidRPr="00734A8F">
        <w:rPr>
          <w:rFonts w:ascii="Trebuchet MS" w:hAnsi="Trebuchet MS"/>
          <w:sz w:val="20"/>
          <w:szCs w:val="20"/>
        </w:rPr>
        <w:t xml:space="preserve"> Generală Organism Intermediar din cadrul Ministerului Transporturilor </w:t>
      </w:r>
      <w:r w:rsidRPr="00734A8F">
        <w:rPr>
          <w:rFonts w:ascii="Trebuchet MS" w:hAnsi="Trebuchet MS"/>
          <w:sz w:val="20"/>
          <w:szCs w:val="20"/>
        </w:rPr>
        <w:t>îndeplinește</w:t>
      </w:r>
      <w:r w:rsidR="00B038F6" w:rsidRPr="00734A8F">
        <w:rPr>
          <w:rFonts w:ascii="Trebuchet MS" w:hAnsi="Trebuchet MS"/>
          <w:sz w:val="20"/>
          <w:szCs w:val="20"/>
        </w:rPr>
        <w:t xml:space="preserve">, rolul de Organism Intermediar pentru axele prioritare de transport ale Programului </w:t>
      </w:r>
      <w:r w:rsidRPr="00734A8F">
        <w:rPr>
          <w:rFonts w:ascii="Trebuchet MS" w:hAnsi="Trebuchet MS"/>
          <w:sz w:val="20"/>
          <w:szCs w:val="20"/>
        </w:rPr>
        <w:t>Operațional</w:t>
      </w:r>
      <w:r w:rsidR="00B038F6" w:rsidRPr="00734A8F">
        <w:rPr>
          <w:rFonts w:ascii="Trebuchet MS" w:hAnsi="Trebuchet MS"/>
          <w:sz w:val="20"/>
          <w:szCs w:val="20"/>
        </w:rPr>
        <w:t xml:space="preserve"> Infrastructură Mare 2014-2020.</w:t>
      </w:r>
    </w:p>
    <w:p w:rsidR="00B038F6" w:rsidRPr="00734A8F" w:rsidRDefault="00B038F6" w:rsidP="00734A8F">
      <w:pPr>
        <w:spacing w:before="0"/>
        <w:rPr>
          <w:rFonts w:ascii="Trebuchet MS" w:hAnsi="Trebuchet MS"/>
          <w:sz w:val="20"/>
          <w:szCs w:val="20"/>
        </w:rPr>
      </w:pPr>
    </w:p>
    <w:p w:rsidR="00B038F6" w:rsidRPr="00734A8F" w:rsidRDefault="00B038F6" w:rsidP="00734A8F">
      <w:pPr>
        <w:spacing w:before="0"/>
        <w:rPr>
          <w:rFonts w:ascii="Trebuchet MS" w:hAnsi="Trebuchet MS"/>
          <w:sz w:val="20"/>
          <w:szCs w:val="20"/>
        </w:rPr>
      </w:pPr>
    </w:p>
    <w:p w:rsidR="002234A3" w:rsidRPr="001B3381" w:rsidRDefault="002234A3" w:rsidP="002234A3">
      <w:pPr>
        <w:rPr>
          <w:rFonts w:ascii="Trebuchet MS" w:hAnsi="Trebuchet MS"/>
          <w:sz w:val="22"/>
          <w:szCs w:val="22"/>
        </w:rPr>
      </w:pPr>
    </w:p>
    <w:sectPr w:rsidR="002234A3" w:rsidRPr="001B3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79" w:rsidRDefault="00252279" w:rsidP="00F00381">
      <w:pPr>
        <w:spacing w:before="0" w:line="240" w:lineRule="auto"/>
      </w:pPr>
      <w:r>
        <w:separator/>
      </w:r>
    </w:p>
  </w:endnote>
  <w:endnote w:type="continuationSeparator" w:id="0">
    <w:p w:rsidR="00252279" w:rsidRDefault="00252279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79" w:rsidRDefault="00252279" w:rsidP="00F00381">
      <w:pPr>
        <w:spacing w:before="0" w:line="240" w:lineRule="auto"/>
      </w:pPr>
      <w:r>
        <w:separator/>
      </w:r>
    </w:p>
  </w:footnote>
  <w:footnote w:type="continuationSeparator" w:id="0">
    <w:p w:rsidR="00252279" w:rsidRDefault="00252279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F6407ED"/>
    <w:multiLevelType w:val="hybridMultilevel"/>
    <w:tmpl w:val="98F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3D91"/>
    <w:multiLevelType w:val="hybridMultilevel"/>
    <w:tmpl w:val="C414D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0CF2"/>
    <w:rsid w:val="00016BF0"/>
    <w:rsid w:val="00051C9D"/>
    <w:rsid w:val="000B435D"/>
    <w:rsid w:val="000E2D52"/>
    <w:rsid w:val="000E7E22"/>
    <w:rsid w:val="00120748"/>
    <w:rsid w:val="001546D4"/>
    <w:rsid w:val="00176D01"/>
    <w:rsid w:val="001B1C8C"/>
    <w:rsid w:val="001B3381"/>
    <w:rsid w:val="001C489C"/>
    <w:rsid w:val="001E5B30"/>
    <w:rsid w:val="001F682C"/>
    <w:rsid w:val="002234A3"/>
    <w:rsid w:val="002459A2"/>
    <w:rsid w:val="00252279"/>
    <w:rsid w:val="00291335"/>
    <w:rsid w:val="00297B1A"/>
    <w:rsid w:val="002C033F"/>
    <w:rsid w:val="0038391F"/>
    <w:rsid w:val="003C6118"/>
    <w:rsid w:val="00412D0B"/>
    <w:rsid w:val="00476063"/>
    <w:rsid w:val="0048122A"/>
    <w:rsid w:val="004973C8"/>
    <w:rsid w:val="004D1349"/>
    <w:rsid w:val="005076CC"/>
    <w:rsid w:val="0051180F"/>
    <w:rsid w:val="00513A26"/>
    <w:rsid w:val="00560E05"/>
    <w:rsid w:val="00625434"/>
    <w:rsid w:val="00625771"/>
    <w:rsid w:val="006327F4"/>
    <w:rsid w:val="00685FFF"/>
    <w:rsid w:val="00700B27"/>
    <w:rsid w:val="00702836"/>
    <w:rsid w:val="00734A8F"/>
    <w:rsid w:val="00740FC4"/>
    <w:rsid w:val="0074680E"/>
    <w:rsid w:val="00757F32"/>
    <w:rsid w:val="00771A1D"/>
    <w:rsid w:val="00774D51"/>
    <w:rsid w:val="007D47A1"/>
    <w:rsid w:val="007F66FD"/>
    <w:rsid w:val="007F683B"/>
    <w:rsid w:val="00820C22"/>
    <w:rsid w:val="008C1EF1"/>
    <w:rsid w:val="008F0BF2"/>
    <w:rsid w:val="00902D62"/>
    <w:rsid w:val="009F3740"/>
    <w:rsid w:val="00A01C4D"/>
    <w:rsid w:val="00A051DD"/>
    <w:rsid w:val="00A15FB6"/>
    <w:rsid w:val="00A2401C"/>
    <w:rsid w:val="00A27B06"/>
    <w:rsid w:val="00A400FC"/>
    <w:rsid w:val="00A43E2D"/>
    <w:rsid w:val="00A47E6A"/>
    <w:rsid w:val="00A55E91"/>
    <w:rsid w:val="00A62B6B"/>
    <w:rsid w:val="00A63E42"/>
    <w:rsid w:val="00A65106"/>
    <w:rsid w:val="00AB7007"/>
    <w:rsid w:val="00B038F6"/>
    <w:rsid w:val="00B2445D"/>
    <w:rsid w:val="00B43BFD"/>
    <w:rsid w:val="00B47DC6"/>
    <w:rsid w:val="00B7788F"/>
    <w:rsid w:val="00B93A6B"/>
    <w:rsid w:val="00BA156E"/>
    <w:rsid w:val="00BC280F"/>
    <w:rsid w:val="00BD45D8"/>
    <w:rsid w:val="00BD563B"/>
    <w:rsid w:val="00BE39F6"/>
    <w:rsid w:val="00C2029D"/>
    <w:rsid w:val="00C540F3"/>
    <w:rsid w:val="00C6466A"/>
    <w:rsid w:val="00C77FF5"/>
    <w:rsid w:val="00C821F5"/>
    <w:rsid w:val="00C83658"/>
    <w:rsid w:val="00CE119B"/>
    <w:rsid w:val="00CE271A"/>
    <w:rsid w:val="00CE326B"/>
    <w:rsid w:val="00CF26D7"/>
    <w:rsid w:val="00D90E84"/>
    <w:rsid w:val="00D953ED"/>
    <w:rsid w:val="00D9600F"/>
    <w:rsid w:val="00DA0887"/>
    <w:rsid w:val="00DA4759"/>
    <w:rsid w:val="00E009E6"/>
    <w:rsid w:val="00E02EB4"/>
    <w:rsid w:val="00E63AD9"/>
    <w:rsid w:val="00E660B4"/>
    <w:rsid w:val="00EC2881"/>
    <w:rsid w:val="00ED0EB0"/>
    <w:rsid w:val="00EE5B09"/>
    <w:rsid w:val="00EE6344"/>
    <w:rsid w:val="00F00381"/>
    <w:rsid w:val="00F12C2E"/>
    <w:rsid w:val="00F428C5"/>
    <w:rsid w:val="00F434EE"/>
    <w:rsid w:val="00FB5AE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15</cp:revision>
  <cp:lastPrinted>2020-04-10T06:37:00Z</cp:lastPrinted>
  <dcterms:created xsi:type="dcterms:W3CDTF">2020-04-10T06:08:00Z</dcterms:created>
  <dcterms:modified xsi:type="dcterms:W3CDTF">2020-12-17T12:25:00Z</dcterms:modified>
</cp:coreProperties>
</file>