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9E47B" w14:textId="0153C32F" w:rsidR="00466338" w:rsidRDefault="00567770" w:rsidP="00567770">
      <w:pPr>
        <w:jc w:val="center"/>
        <w:rPr>
          <w:rFonts w:ascii="Trebuchet MS" w:hAnsi="Trebuchet MS"/>
          <w:bCs/>
          <w:color w:val="44546A" w:themeColor="text2"/>
          <w:lang w:val="en-US"/>
        </w:rPr>
      </w:pPr>
      <w:bookmarkStart w:id="0" w:name="_GoBack"/>
      <w:bookmarkEnd w:id="0"/>
      <w:r>
        <w:rPr>
          <w:rFonts w:ascii="Trebuchet MS" w:hAnsi="Trebuchet MS"/>
          <w:bCs/>
          <w:color w:val="44546A" w:themeColor="text2"/>
          <w:lang w:val="en-US"/>
        </w:rPr>
        <w:t>LISTA DE VERIFICARE</w:t>
      </w:r>
    </w:p>
    <w:p w14:paraId="66646BCE" w14:textId="50A61A18" w:rsidR="00567770" w:rsidRPr="001B1AB3"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SUBCRITERIUL 3.5</w:t>
      </w:r>
    </w:p>
    <w:tbl>
      <w:tblPr>
        <w:tblW w:w="10054" w:type="dxa"/>
        <w:tblLook w:val="04A0" w:firstRow="1" w:lastRow="0" w:firstColumn="1" w:lastColumn="0" w:noHBand="0" w:noVBand="1"/>
      </w:tblPr>
      <w:tblGrid>
        <w:gridCol w:w="1266"/>
        <w:gridCol w:w="5929"/>
        <w:gridCol w:w="510"/>
        <w:gridCol w:w="510"/>
        <w:gridCol w:w="510"/>
        <w:gridCol w:w="1329"/>
      </w:tblGrid>
      <w:tr w:rsidR="00466338" w:rsidRPr="001B1AB3"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en-US"/>
              </w:rPr>
            </w:pPr>
            <w:r w:rsidRPr="001B1AB3">
              <w:rPr>
                <w:rFonts w:ascii="Arial Narrow" w:eastAsia="Times New Roman" w:hAnsi="Arial Narrow" w:cs="Calibr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fr-BE"/>
              </w:rPr>
            </w:pPr>
            <w:r w:rsidRPr="001B1AB3">
              <w:rPr>
                <w:rFonts w:ascii="Arial Narrow" w:eastAsia="Times New Roman" w:hAnsi="Arial Narrow" w:cs="Calibr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1B1AB3" w:rsidRDefault="00466338" w:rsidP="00554583">
            <w:pPr>
              <w:spacing w:after="0" w:line="240" w:lineRule="auto"/>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Comentarii</w:t>
            </w:r>
          </w:p>
        </w:tc>
      </w:tr>
      <w:tr w:rsidR="00466338" w:rsidRPr="001B1AB3"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Proiectul se incadreaza in tipurile de actiuni pentru care s-a facut analiza DNSH in cadrul PT 2021-2027.</w:t>
            </w:r>
          </w:p>
        </w:tc>
        <w:sdt>
          <w:sdtPr>
            <w:rPr>
              <w:rFonts w:ascii="Arial Narrow" w:eastAsia="Times New Roman" w:hAnsi="Arial Narrow" w:cs="Calibri"/>
              <w:color w:val="000000" w:themeColor="text1"/>
              <w:sz w:val="19"/>
              <w:szCs w:val="19"/>
              <w:lang w:val="en-US"/>
            </w:rPr>
            <w:id w:val="-29421648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24949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2079630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Proiectul este conform cu legislatia de mediu aplicabila si include masurile stabilite prin actul de reglementare aferent procedurii de mediu.</w:t>
            </w:r>
          </w:p>
        </w:tc>
        <w:sdt>
          <w:sdtPr>
            <w:rPr>
              <w:rFonts w:ascii="Arial Narrow" w:eastAsia="Times New Roman" w:hAnsi="Arial Narrow" w:cs="Calibri"/>
              <w:color w:val="000000" w:themeColor="text1"/>
              <w:sz w:val="19"/>
              <w:szCs w:val="19"/>
              <w:lang w:val="en-US"/>
            </w:rPr>
            <w:id w:val="-151791599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06477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83695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66BC66D2"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6E7BAA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Atenuarea schimbărilor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F02004"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calculat cantitatile de emisii de gaze cu efect de sera si s-au monetizat in ACB. S-a prezentat metodologia de calcul si monetizare</w:t>
            </w:r>
          </w:p>
        </w:tc>
        <w:sdt>
          <w:sdtPr>
            <w:rPr>
              <w:rFonts w:ascii="Arial Narrow" w:eastAsia="Times New Roman" w:hAnsi="Arial Narrow" w:cs="Calibri"/>
              <w:color w:val="000000" w:themeColor="text1"/>
              <w:sz w:val="19"/>
              <w:szCs w:val="19"/>
              <w:lang w:val="en-US"/>
            </w:rPr>
            <w:id w:val="67731424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160130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746253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5781F21"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4C169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FBD35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Include instalarea de puncte de încărcare cu combustibili alternativi (conform strategiei nationale, unde este cazul)</w:t>
            </w:r>
          </w:p>
        </w:tc>
        <w:sdt>
          <w:sdtPr>
            <w:rPr>
              <w:rFonts w:ascii="Arial Narrow" w:eastAsia="Times New Roman" w:hAnsi="Arial Narrow" w:cs="Calibri"/>
              <w:color w:val="000000" w:themeColor="text1"/>
              <w:sz w:val="19"/>
              <w:szCs w:val="19"/>
              <w:lang w:val="en-US"/>
            </w:rPr>
            <w:id w:val="12903936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E8820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7087601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D05DD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307949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ADF1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F0387A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F0A47FE"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1C4F32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55C6EB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Include împădurirea spatiilor de siguranta ale infrastructurii rutiere (unde este cazul)</w:t>
            </w:r>
          </w:p>
        </w:tc>
        <w:sdt>
          <w:sdtPr>
            <w:rPr>
              <w:rFonts w:ascii="Arial Narrow" w:eastAsia="Times New Roman" w:hAnsi="Arial Narrow" w:cs="Calibri"/>
              <w:color w:val="000000" w:themeColor="text1"/>
              <w:sz w:val="19"/>
              <w:szCs w:val="19"/>
              <w:lang w:val="en-US"/>
            </w:rPr>
            <w:id w:val="5092579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F20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2690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6F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2169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36D7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FE6A9B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5A30E59" w14:textId="77777777" w:rsidTr="00554583">
        <w:trPr>
          <w:trHeight w:val="1056"/>
        </w:trPr>
        <w:tc>
          <w:tcPr>
            <w:tcW w:w="1266" w:type="dxa"/>
            <w:vMerge/>
            <w:tcBorders>
              <w:top w:val="nil"/>
              <w:left w:val="single" w:sz="4" w:space="0" w:color="auto"/>
              <w:bottom w:val="single" w:sz="4" w:space="0" w:color="auto"/>
              <w:right w:val="single" w:sz="4" w:space="0" w:color="auto"/>
            </w:tcBorders>
            <w:vAlign w:val="center"/>
            <w:hideMark/>
          </w:tcPr>
          <w:p w14:paraId="2878CC0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3883A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lang w:val="en-US"/>
              </w:rPr>
              <w:t>Proiectul propus este parte dintr-o planificare strategica in care s-au identificat masuri de reducere a emisiilor de gaze cu efect de sera (de ex: reînnoirea parcului auto prin creșterea ponderii vehiculelor cu emisii reduse sau 0 emisii; realizarea unui transfer modal (modal shift) de la modul de transport rutier către alte moduri de transport cu emisii reduse de GHG; măsuri de descurajare a utilizării autovehiculelor poluante; măsuri de încurajare a achiziției de autovehicule curate)</w:t>
            </w:r>
          </w:p>
        </w:tc>
        <w:sdt>
          <w:sdtPr>
            <w:rPr>
              <w:rFonts w:ascii="Arial Narrow" w:eastAsia="Times New Roman" w:hAnsi="Arial Narrow" w:cs="Calibri"/>
              <w:color w:val="000000" w:themeColor="text1"/>
              <w:sz w:val="19"/>
              <w:szCs w:val="19"/>
              <w:lang w:val="en-US"/>
            </w:rPr>
            <w:id w:val="4182948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980974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25923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p>
        </w:tc>
      </w:tr>
      <w:tr w:rsidR="00466338" w:rsidRPr="001B1AB3" w14:paraId="090861AD" w14:textId="77777777" w:rsidTr="00554583">
        <w:trPr>
          <w:trHeight w:val="504"/>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B6A26B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Adaptarea la schimbari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5B8DF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de vulnerabilitate, risc si adaptare la schimbari climatice. Metodologia utilizata in cadrul analizei este descrisa in documentatia aferenta procedurii de mediu </w:t>
            </w:r>
          </w:p>
        </w:tc>
        <w:sdt>
          <w:sdtPr>
            <w:rPr>
              <w:rFonts w:ascii="Arial Narrow" w:eastAsia="Times New Roman" w:hAnsi="Arial Narrow" w:cs="Calibri"/>
              <w:color w:val="000000" w:themeColor="text1"/>
              <w:sz w:val="19"/>
              <w:szCs w:val="19"/>
              <w:lang w:val="en-US"/>
            </w:rPr>
            <w:id w:val="2645892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746908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7664021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69770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F71B88C"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2197CF5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F903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prezentate date climatice (si sursa lor) relevante din zona proiectului</w:t>
            </w:r>
          </w:p>
        </w:tc>
        <w:sdt>
          <w:sdtPr>
            <w:rPr>
              <w:rFonts w:ascii="Arial Narrow" w:eastAsia="Times New Roman" w:hAnsi="Arial Narrow" w:cs="Calibri"/>
              <w:color w:val="000000" w:themeColor="text1"/>
              <w:sz w:val="19"/>
              <w:szCs w:val="19"/>
              <w:lang w:val="en-US"/>
            </w:rPr>
            <w:id w:val="20680714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F5407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73767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B7D0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335370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BF12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C33EF5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64DFC58"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8C1817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908B5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Este prezentata analiza de vulnerabiliate, bazata pe expunerea proiectului la variabilele climatice si pe senzitivitatea proiectului la acestea</w:t>
            </w:r>
          </w:p>
        </w:tc>
        <w:sdt>
          <w:sdtPr>
            <w:rPr>
              <w:rFonts w:ascii="Arial Narrow" w:eastAsia="Times New Roman" w:hAnsi="Arial Narrow" w:cs="Calibri"/>
              <w:color w:val="000000" w:themeColor="text1"/>
              <w:sz w:val="19"/>
              <w:szCs w:val="19"/>
              <w:lang w:val="en-US"/>
            </w:rPr>
            <w:id w:val="32132069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E3DA18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17305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9AE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954616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48E5E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A97DD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0FB7F75"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58D6A83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E01180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Rezultatele analizei de vulnerabilitate sunt utilizate in etapa de analiza a riscurilor proiectului la variabilele curente si viitoare (tinand cont de probabilitatea si severitatea acestora)</w:t>
            </w:r>
          </w:p>
        </w:tc>
        <w:sdt>
          <w:sdtPr>
            <w:rPr>
              <w:rFonts w:ascii="Arial Narrow" w:eastAsia="Times New Roman" w:hAnsi="Arial Narrow" w:cs="Calibri"/>
              <w:color w:val="000000" w:themeColor="text1"/>
              <w:sz w:val="19"/>
              <w:szCs w:val="19"/>
              <w:lang w:val="en-US"/>
            </w:rPr>
            <w:id w:val="-3041634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04C08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871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59F28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793331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B9DA7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5FEF4A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35C9FB"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55837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 baza riscurilor identificate s-au analizat solutii de adaptare la schimbari climatice (structurale si non structurale)</w:t>
            </w:r>
          </w:p>
        </w:tc>
        <w:sdt>
          <w:sdtPr>
            <w:rPr>
              <w:rFonts w:ascii="Arial Narrow" w:eastAsia="Times New Roman" w:hAnsi="Arial Narrow" w:cs="Calibri"/>
              <w:color w:val="000000" w:themeColor="text1"/>
              <w:sz w:val="19"/>
              <w:szCs w:val="19"/>
              <w:lang w:val="en-US"/>
            </w:rPr>
            <w:id w:val="-12239045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34564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48653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1487ED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177B03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B92628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9DB6FD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propuse solutii tehnice care să permită adaptarea la temperaturile maxime actuale</w:t>
            </w:r>
          </w:p>
        </w:tc>
        <w:sdt>
          <w:sdtPr>
            <w:rPr>
              <w:rFonts w:ascii="Arial Narrow" w:eastAsia="Times New Roman" w:hAnsi="Arial Narrow" w:cs="Calibri"/>
              <w:color w:val="000000" w:themeColor="text1"/>
              <w:sz w:val="19"/>
              <w:szCs w:val="19"/>
              <w:lang w:val="en-US"/>
            </w:rPr>
            <w:id w:val="-14454620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5DB8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20135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085D2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127341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F3F02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150527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04B30C"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7AEF3F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D0F1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proiectarea infrastructurii pentru colectarea apelor pluviale astfel încât să facă fată unor cantități mai mari ale precipitațiilor extreme</w:t>
            </w:r>
          </w:p>
        </w:tc>
        <w:sdt>
          <w:sdtPr>
            <w:rPr>
              <w:rFonts w:ascii="Arial Narrow" w:eastAsia="Times New Roman" w:hAnsi="Arial Narrow" w:cs="Calibri"/>
              <w:color w:val="000000" w:themeColor="text1"/>
              <w:sz w:val="19"/>
              <w:szCs w:val="19"/>
              <w:lang w:val="en-US"/>
            </w:rPr>
            <w:id w:val="-28244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FB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6164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5E8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2630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16927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4FF1CE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5846A2"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5580C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839BBE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masuri pentru monitorizarea constantă a comportamentului infrastructurii în contextul utilizării acesteia</w:t>
            </w:r>
          </w:p>
        </w:tc>
        <w:sdt>
          <w:sdtPr>
            <w:rPr>
              <w:rFonts w:ascii="Arial Narrow" w:eastAsia="Times New Roman" w:hAnsi="Arial Narrow" w:cs="Calibri"/>
              <w:color w:val="000000" w:themeColor="text1"/>
              <w:sz w:val="19"/>
              <w:szCs w:val="19"/>
              <w:lang w:val="en-US"/>
            </w:rPr>
            <w:id w:val="16494736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E7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87048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6CAD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90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358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BA7C5B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D71AA7E"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9A903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39A6B6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propuse masuri pentru acoperirea terasamentelor cu material textil și vegetatie </w:t>
            </w:r>
          </w:p>
        </w:tc>
        <w:sdt>
          <w:sdtPr>
            <w:rPr>
              <w:rFonts w:ascii="Arial Narrow" w:eastAsia="Times New Roman" w:hAnsi="Arial Narrow" w:cs="Calibri"/>
              <w:color w:val="000000" w:themeColor="text1"/>
              <w:sz w:val="19"/>
              <w:szCs w:val="19"/>
              <w:lang w:val="en-US"/>
            </w:rPr>
            <w:id w:val="12839249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1688A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869538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85911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877400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CD79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187451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C7C6F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7CA66D46"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7BB1DE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prevăzute straturi de acoperire rezistente la fluctuațiile de temperatură, rosturi de dilatație rezistente la fluctuațiile de temperatură</w:t>
            </w:r>
          </w:p>
        </w:tc>
        <w:sdt>
          <w:sdtPr>
            <w:rPr>
              <w:rFonts w:ascii="Arial Narrow" w:eastAsia="Times New Roman" w:hAnsi="Arial Narrow" w:cs="Calibri"/>
              <w:color w:val="000000" w:themeColor="text1"/>
              <w:sz w:val="19"/>
              <w:szCs w:val="19"/>
              <w:lang w:val="en-US"/>
            </w:rPr>
            <w:id w:val="10286839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76E9F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543396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FB0B7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30589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F3A0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E5E9D5D"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B0CDE6A"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27A9F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9B085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perdele forestiere în zonele cu expunere foarte mare la variabile climatice</w:t>
            </w:r>
          </w:p>
        </w:tc>
        <w:sdt>
          <w:sdtPr>
            <w:rPr>
              <w:rFonts w:ascii="Arial Narrow" w:eastAsia="Times New Roman" w:hAnsi="Arial Narrow" w:cs="Calibri"/>
              <w:color w:val="000000" w:themeColor="text1"/>
              <w:sz w:val="19"/>
              <w:szCs w:val="19"/>
              <w:lang w:val="en-US"/>
            </w:rPr>
            <w:id w:val="-8660546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00791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5548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3265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1531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76ADC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4F661A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6289639"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37BD82C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C4F6A0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solutii de dimensionare a șanțurilor si rigolelor ce trebuie sa preia apele pluviale și să le canalizeze către podețe și poduri, ce asigura drenare eficientă a caii de rulare în scopul evitării producerii inundatiilor</w:t>
            </w:r>
          </w:p>
        </w:tc>
        <w:sdt>
          <w:sdtPr>
            <w:rPr>
              <w:rFonts w:ascii="Arial Narrow" w:eastAsia="Times New Roman" w:hAnsi="Arial Narrow" w:cs="Calibri"/>
              <w:color w:val="000000" w:themeColor="text1"/>
              <w:sz w:val="19"/>
              <w:szCs w:val="19"/>
              <w:lang w:val="en-US"/>
            </w:rPr>
            <w:id w:val="157732620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A2946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5680802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2457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69278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56EE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EB5BA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45DE2FA"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E17E026"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4FEEAA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propus execuția pereților din piloni de beton armat pentru limitarea amprizei (unde este cazul)</w:t>
            </w:r>
          </w:p>
        </w:tc>
        <w:sdt>
          <w:sdtPr>
            <w:rPr>
              <w:rFonts w:ascii="Arial Narrow" w:eastAsia="Times New Roman" w:hAnsi="Arial Narrow" w:cs="Calibri"/>
              <w:color w:val="000000" w:themeColor="text1"/>
              <w:sz w:val="19"/>
              <w:szCs w:val="19"/>
              <w:lang w:val="en-US"/>
            </w:rPr>
            <w:id w:val="-15620138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7D8C4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1256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7C01D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3468748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5FAB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E37239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46C367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0D9595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Masurile de adaptare (structurale si non structurale) la schimbari climatice sunt identificate si integrate in proiectul autorizat si reduc riscurile la un nivel acceptabil </w:t>
            </w:r>
          </w:p>
        </w:tc>
        <w:sdt>
          <w:sdtPr>
            <w:rPr>
              <w:rFonts w:ascii="Arial Narrow" w:eastAsia="Times New Roman" w:hAnsi="Arial Narrow" w:cs="Calibri"/>
              <w:color w:val="000000" w:themeColor="text1"/>
              <w:sz w:val="19"/>
              <w:szCs w:val="19"/>
              <w:lang w:val="en-US"/>
            </w:rPr>
            <w:id w:val="-18053769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95212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71587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7DBC04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analiza impactului proiectului asupra corpurilor de apa si s-a identificat potentialul tip de impact. Analiza impactului, precum si masuri generale si specifice (daca este cazul) sunt incluse in actul de reglementare al procedurii de mediu si in proiect</w:t>
            </w:r>
          </w:p>
        </w:tc>
        <w:sdt>
          <w:sdtPr>
            <w:rPr>
              <w:rFonts w:ascii="Arial Narrow" w:eastAsia="Times New Roman" w:hAnsi="Arial Narrow" w:cs="Calibri"/>
              <w:color w:val="000000" w:themeColor="text1"/>
              <w:sz w:val="19"/>
              <w:szCs w:val="19"/>
              <w:lang w:val="en-US"/>
            </w:rPr>
            <w:id w:val="177018883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16933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582557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C1CC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529A0AB7"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A99EF2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Actul de reglementare al procedurii de mediu a concluzionat ca proiectul propus nu duce la deteriorarea stării/potenţialului ecologic al corpurilor de apă sau la împiedicarea atingerii obiectivelor de mediu pentru corpurile de apă</w:t>
            </w:r>
          </w:p>
        </w:tc>
        <w:sdt>
          <w:sdtPr>
            <w:rPr>
              <w:rFonts w:ascii="Arial Narrow" w:eastAsia="Times New Roman" w:hAnsi="Arial Narrow" w:cs="Calibri"/>
              <w:color w:val="000000" w:themeColor="text1"/>
              <w:sz w:val="19"/>
              <w:szCs w:val="19"/>
              <w:lang w:val="en-US"/>
            </w:rPr>
            <w:id w:val="-19593373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77F7B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46231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66236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7910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6837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29CFF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996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0684CDE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FDB1C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cazul identificarii unui tip de impact care nu duce la deteriorarea stării/potenţialului ecologic al corpurilor de apă sau la împiedicarea atingerii obiectivelor de mediu pentru corpurile de apă, s-au propus masuri de reducere a impactului asupra corpurilor de apa  </w:t>
            </w:r>
          </w:p>
        </w:tc>
        <w:sdt>
          <w:sdtPr>
            <w:rPr>
              <w:rFonts w:ascii="Arial Narrow" w:eastAsia="Times New Roman" w:hAnsi="Arial Narrow" w:cs="Calibri"/>
              <w:color w:val="000000" w:themeColor="text1"/>
              <w:sz w:val="19"/>
              <w:szCs w:val="19"/>
              <w:lang w:val="en-US"/>
            </w:rPr>
            <w:id w:val="-91107370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DDC2A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6267129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8191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94849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A6A0C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971B77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D6B04D2" w14:textId="77777777" w:rsidTr="00554583">
        <w:trPr>
          <w:trHeight w:val="492"/>
        </w:trPr>
        <w:tc>
          <w:tcPr>
            <w:tcW w:w="1266" w:type="dxa"/>
            <w:vMerge/>
            <w:tcBorders>
              <w:top w:val="nil"/>
              <w:left w:val="single" w:sz="4" w:space="0" w:color="auto"/>
              <w:bottom w:val="single" w:sz="4" w:space="0" w:color="auto"/>
              <w:right w:val="single" w:sz="4" w:space="0" w:color="auto"/>
            </w:tcBorders>
            <w:vAlign w:val="center"/>
            <w:hideMark/>
          </w:tcPr>
          <w:p w14:paraId="098AC96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C5CDB6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management de mediu care să cuprindă, printre altele, următoarele acţiuni (daca este cazul):</w:t>
            </w:r>
          </w:p>
        </w:tc>
        <w:sdt>
          <w:sdtPr>
            <w:rPr>
              <w:rFonts w:ascii="Arial Narrow" w:eastAsia="Times New Roman" w:hAnsi="Arial Narrow" w:cs="Calibri"/>
              <w:color w:val="000000" w:themeColor="text1"/>
              <w:sz w:val="19"/>
              <w:szCs w:val="19"/>
              <w:lang w:val="en-US"/>
            </w:rPr>
            <w:id w:val="-11112717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15971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345450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739E4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224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8D0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B141B6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D44EDC"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DA4C90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5C1CC9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plan de alarmare şi intervenţie rapidă în cazul unor accidente cu deversare importantă de lichide poluante;</w:t>
            </w:r>
          </w:p>
        </w:tc>
        <w:sdt>
          <w:sdtPr>
            <w:rPr>
              <w:rFonts w:ascii="Arial Narrow" w:eastAsia="Times New Roman" w:hAnsi="Arial Narrow" w:cs="Calibri"/>
              <w:color w:val="000000" w:themeColor="text1"/>
              <w:sz w:val="19"/>
              <w:szCs w:val="19"/>
              <w:lang w:val="en-US"/>
            </w:rPr>
            <w:id w:val="17382002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6D39B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49279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04FA0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07081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F88FE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6B61F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37E4C3D"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42E2381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8ED9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mijloacele necesare pentru neutralizarea poluărilor accidentale datorate scurgerilor de compuşi lichizi toxici;</w:t>
            </w:r>
          </w:p>
        </w:tc>
        <w:sdt>
          <w:sdtPr>
            <w:rPr>
              <w:rFonts w:ascii="Arial Narrow" w:eastAsia="Times New Roman" w:hAnsi="Arial Narrow" w:cs="Calibri"/>
              <w:color w:val="000000" w:themeColor="text1"/>
              <w:sz w:val="19"/>
              <w:szCs w:val="19"/>
              <w:lang w:val="en-US"/>
            </w:rPr>
            <w:id w:val="21062283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3E82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74122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5DA6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191829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D0803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CD35C0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C889E9"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2F3F95F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688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revizuirea, actualizarea şi întreţinerea corespunzătoare, conform noilor condiţii ale traficului pentru semnalizarea rutieră, menită să reducă riscul accidentelor;</w:t>
            </w:r>
          </w:p>
        </w:tc>
        <w:sdt>
          <w:sdtPr>
            <w:rPr>
              <w:rFonts w:ascii="Arial Narrow" w:eastAsia="Times New Roman" w:hAnsi="Arial Narrow" w:cs="Calibri"/>
              <w:color w:val="000000" w:themeColor="text1"/>
              <w:sz w:val="19"/>
              <w:szCs w:val="19"/>
              <w:lang w:val="en-US"/>
            </w:rPr>
            <w:id w:val="-163570839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9C20C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4401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252A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03564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499A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6C36A0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39E7CF"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055F559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62255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întreţinerea rigolelor de scurgere riverane drumului.</w:t>
            </w:r>
          </w:p>
        </w:tc>
        <w:sdt>
          <w:sdtPr>
            <w:rPr>
              <w:rFonts w:ascii="Arial Narrow" w:eastAsia="Times New Roman" w:hAnsi="Arial Narrow" w:cs="Calibri"/>
              <w:color w:val="000000" w:themeColor="text1"/>
              <w:sz w:val="19"/>
              <w:szCs w:val="19"/>
              <w:lang w:val="en-US"/>
            </w:rPr>
            <w:id w:val="136925783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13F7C0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42474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84CAD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316842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676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A40D50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evitat amplasarea organizările de șantier în apropierea cursurilor de apă și sau în apropierea zonelor de protecție sanitară a captărilor de apă și apeductelor</w:t>
            </w:r>
          </w:p>
        </w:tc>
        <w:sdt>
          <w:sdtPr>
            <w:rPr>
              <w:rFonts w:ascii="Arial Narrow" w:eastAsia="Times New Roman" w:hAnsi="Arial Narrow" w:cs="Calibri"/>
              <w:color w:val="000000" w:themeColor="text1"/>
              <w:sz w:val="19"/>
              <w:szCs w:val="19"/>
              <w:lang w:val="en-US"/>
            </w:rPr>
            <w:id w:val="-121419752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57710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44393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3CCBCF5"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5A4B363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6B756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masuri de interzicere a depozitarii deșeurilor de construcții, a materialelor și staționarea utilajelor în albiile cursurilor de apa</w:t>
            </w:r>
          </w:p>
        </w:tc>
        <w:sdt>
          <w:sdtPr>
            <w:rPr>
              <w:rFonts w:ascii="Arial Narrow" w:eastAsia="Times New Roman" w:hAnsi="Arial Narrow" w:cs="Calibri"/>
              <w:color w:val="000000" w:themeColor="text1"/>
              <w:sz w:val="19"/>
              <w:szCs w:val="19"/>
              <w:lang w:val="en-US"/>
            </w:rPr>
            <w:id w:val="-378466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82FA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608022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C49EC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06512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0C6A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57BB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25C27C3" w14:textId="77777777" w:rsidTr="00554583">
        <w:trPr>
          <w:trHeight w:val="684"/>
        </w:trPr>
        <w:tc>
          <w:tcPr>
            <w:tcW w:w="1266" w:type="dxa"/>
            <w:vMerge/>
            <w:tcBorders>
              <w:top w:val="nil"/>
              <w:left w:val="single" w:sz="4" w:space="0" w:color="auto"/>
              <w:bottom w:val="single" w:sz="4" w:space="0" w:color="auto"/>
              <w:right w:val="single" w:sz="4" w:space="0" w:color="auto"/>
            </w:tcBorders>
            <w:vAlign w:val="center"/>
            <w:hideMark/>
          </w:tcPr>
          <w:p w14:paraId="5079C4C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7F65A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tc>
        <w:sdt>
          <w:sdtPr>
            <w:rPr>
              <w:rFonts w:ascii="Arial Narrow" w:eastAsia="Times New Roman" w:hAnsi="Arial Narrow" w:cs="Calibri"/>
              <w:color w:val="000000" w:themeColor="text1"/>
              <w:sz w:val="19"/>
              <w:szCs w:val="19"/>
              <w:lang w:val="en-US"/>
            </w:rPr>
            <w:id w:val="144157167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6BA3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3870125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6EB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3125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FE75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6F2240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Costurile privind masurile de reducere a impactului proiectului asupra corpurilor de apa sunt include in costul total al proiectului</w:t>
            </w:r>
          </w:p>
        </w:tc>
        <w:sdt>
          <w:sdtPr>
            <w:rPr>
              <w:rFonts w:ascii="Arial Narrow" w:eastAsia="Times New Roman" w:hAnsi="Arial Narrow" w:cs="Calibri"/>
              <w:color w:val="000000" w:themeColor="text1"/>
              <w:sz w:val="19"/>
              <w:szCs w:val="19"/>
              <w:lang w:val="en-US"/>
            </w:rPr>
            <w:id w:val="130705246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6039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78144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analiza privind managementul deseurilor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9927145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3018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95100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Deşeurile rezultate vor fi colectate selectiv, în funcţie de caracteristicile lor, transportate în depozite autorizate sau predate unor operatori economici autorizați în scopul valorificării lor (se aplica in situatia in care din analiza reiese ca se genereaza deseuri)</w:t>
            </w:r>
          </w:p>
        </w:tc>
        <w:sdt>
          <w:sdtPr>
            <w:rPr>
              <w:rFonts w:ascii="Arial Narrow" w:eastAsia="Times New Roman" w:hAnsi="Arial Narrow" w:cs="Calibri"/>
              <w:color w:val="000000" w:themeColor="text1"/>
              <w:sz w:val="19"/>
              <w:szCs w:val="19"/>
              <w:lang w:val="en-US"/>
            </w:rPr>
            <w:id w:val="94619974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37521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52345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9A56162"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66C20F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D39F0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obligatia de a tine evidenţa lunară a colectării, stocării provizorii şi eliminării deşeurilor către depozitele autorizate (se aplica in situatia in care din analiza reiese ca se genereaza deseuri)</w:t>
            </w:r>
          </w:p>
        </w:tc>
        <w:sdt>
          <w:sdtPr>
            <w:rPr>
              <w:rFonts w:ascii="Arial Narrow" w:eastAsia="Times New Roman" w:hAnsi="Arial Narrow" w:cs="Calibri"/>
              <w:color w:val="000000" w:themeColor="text1"/>
              <w:sz w:val="19"/>
              <w:szCs w:val="19"/>
              <w:lang w:val="en-US"/>
            </w:rPr>
            <w:id w:val="10476443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DDD48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75223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2FEE2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87010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CF37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8993C27"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80218F2"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6895D5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37F43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in proiect masuri pentru colectarea deșeurilor de la parcări / spațiile de servicii și de la celelalte activități care se vor desfășura pentru întreținerea și operarea infrastructurii rutiere (se aplica in situatia in care din analiza reiese ca se genereaza deseuri)</w:t>
            </w:r>
          </w:p>
        </w:tc>
        <w:sdt>
          <w:sdtPr>
            <w:rPr>
              <w:rFonts w:ascii="Arial Narrow" w:eastAsia="Times New Roman" w:hAnsi="Arial Narrow" w:cs="Calibri"/>
              <w:color w:val="000000" w:themeColor="text1"/>
              <w:sz w:val="19"/>
              <w:szCs w:val="19"/>
              <w:lang w:val="en-US"/>
            </w:rPr>
            <w:id w:val="-12401223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A094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5846364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3619D5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6289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DF3E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9713B7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F1705BD" w14:textId="77777777" w:rsidTr="00554583">
        <w:trPr>
          <w:trHeight w:val="1572"/>
        </w:trPr>
        <w:tc>
          <w:tcPr>
            <w:tcW w:w="1266" w:type="dxa"/>
            <w:vMerge/>
            <w:tcBorders>
              <w:top w:val="nil"/>
              <w:left w:val="single" w:sz="4" w:space="0" w:color="auto"/>
              <w:bottom w:val="single" w:sz="4" w:space="0" w:color="auto"/>
              <w:right w:val="single" w:sz="4" w:space="0" w:color="auto"/>
            </w:tcBorders>
            <w:vAlign w:val="center"/>
            <w:hideMark/>
          </w:tcPr>
          <w:p w14:paraId="1383CCE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258EE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(se aplica in situatia in care din analiza reiese ca se genereaza deseuri)</w:t>
            </w:r>
          </w:p>
        </w:tc>
        <w:sdt>
          <w:sdtPr>
            <w:rPr>
              <w:rFonts w:ascii="Arial Narrow" w:eastAsia="Times New Roman" w:hAnsi="Arial Narrow" w:cs="Calibri"/>
              <w:color w:val="000000" w:themeColor="text1"/>
              <w:sz w:val="19"/>
              <w:szCs w:val="19"/>
              <w:lang w:val="en-US"/>
            </w:rPr>
            <w:id w:val="-165975747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B10F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58263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A5387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04187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7332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6DBDC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55DC2F3"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r w:rsidRPr="001B1AB3">
              <w:rPr>
                <w:rFonts w:ascii="Arial Narrow" w:eastAsia="Times New Roman" w:hAnsi="Arial Narrow" w:cs="Calibr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analiza privind efectele si masurile de prevenirea și control al poluării în aer, apă sau sol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12416788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629735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509902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E424A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779BD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90CC04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939B2D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Exista analiza privind emisiile de poluati in ACB</w:t>
            </w:r>
          </w:p>
        </w:tc>
        <w:sdt>
          <w:sdtPr>
            <w:rPr>
              <w:rFonts w:ascii="Arial Narrow" w:eastAsia="Times New Roman" w:hAnsi="Arial Narrow" w:cs="Calibri"/>
              <w:color w:val="000000" w:themeColor="text1"/>
              <w:sz w:val="19"/>
              <w:szCs w:val="19"/>
              <w:lang w:val="en-US"/>
            </w:rPr>
            <w:id w:val="180689440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8DF74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339462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5378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411961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731FC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BF9311"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17A7A15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46D9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C6BAD6D"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Lucrarile de executie sunt esalonate conform graficului de executie din actul de reglementare</w:t>
            </w:r>
          </w:p>
        </w:tc>
        <w:sdt>
          <w:sdtPr>
            <w:rPr>
              <w:rFonts w:ascii="Arial Narrow" w:eastAsia="Times New Roman" w:hAnsi="Arial Narrow" w:cs="Calibri"/>
              <w:color w:val="000000" w:themeColor="text1"/>
              <w:sz w:val="19"/>
              <w:szCs w:val="19"/>
              <w:lang w:val="en-US"/>
            </w:rPr>
            <w:id w:val="7564168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23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18614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F4D4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420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821D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C16E0D"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2E949C86" w14:textId="77777777" w:rsidTr="00554583">
        <w:trPr>
          <w:trHeight w:val="744"/>
        </w:trPr>
        <w:tc>
          <w:tcPr>
            <w:tcW w:w="1266" w:type="dxa"/>
            <w:vMerge/>
            <w:tcBorders>
              <w:top w:val="nil"/>
              <w:left w:val="single" w:sz="4" w:space="0" w:color="auto"/>
              <w:bottom w:val="single" w:sz="4" w:space="0" w:color="auto"/>
              <w:right w:val="single" w:sz="4" w:space="0" w:color="auto"/>
            </w:tcBorders>
            <w:vAlign w:val="center"/>
            <w:hideMark/>
          </w:tcPr>
          <w:p w14:paraId="14E6794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C76D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Utilajele de construcţie şi mijloacele de transport vor fi bine întreţinute pentru a minimiza emisiile de gaze; acestea vor fi verificate periodic în ceea ce priveşte nivelul de monoxid de carbon şi concentrațiile de emisii în gazele de eşapament şi vor fi puse în funcțiune numai după remedierea eventualelor defectiuni</w:t>
            </w:r>
          </w:p>
        </w:tc>
        <w:sdt>
          <w:sdtPr>
            <w:rPr>
              <w:rFonts w:ascii="Arial Narrow" w:eastAsia="Times New Roman" w:hAnsi="Arial Narrow" w:cs="Calibri"/>
              <w:color w:val="000000" w:themeColor="text1"/>
              <w:sz w:val="19"/>
              <w:szCs w:val="19"/>
              <w:lang w:val="en-US"/>
            </w:rPr>
            <w:id w:val="3567037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CEF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489244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75E4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575722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5BA93D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C5DBF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31E9" w14:textId="77777777" w:rsidTr="00554583">
        <w:trPr>
          <w:trHeight w:val="888"/>
        </w:trPr>
        <w:tc>
          <w:tcPr>
            <w:tcW w:w="1266" w:type="dxa"/>
            <w:vMerge/>
            <w:tcBorders>
              <w:top w:val="nil"/>
              <w:left w:val="single" w:sz="4" w:space="0" w:color="auto"/>
              <w:bottom w:val="single" w:sz="4" w:space="0" w:color="auto"/>
              <w:right w:val="single" w:sz="4" w:space="0" w:color="auto"/>
            </w:tcBorders>
            <w:vAlign w:val="center"/>
            <w:hideMark/>
          </w:tcPr>
          <w:p w14:paraId="16459BF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77C4F8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Drumurile tehnologice vor fi permanent întreţinute prin nivelare şi stropire cu apă pentru a se reduce praful; în cazul transportului de pământ se vor prevedea, pe cât posibil, trasee situate chiar pe corpul umpluturii, astfel încât, pe de o parte să se </w:t>
            </w:r>
            <w:r w:rsidRPr="001B1AB3">
              <w:rPr>
                <w:rFonts w:ascii="Arial Narrow" w:eastAsia="Times New Roman" w:hAnsi="Arial Narrow" w:cs="Calibri"/>
                <w:color w:val="000000"/>
                <w:sz w:val="19"/>
                <w:szCs w:val="19"/>
              </w:rPr>
              <w:lastRenderedPageBreak/>
              <w:t>obţină o compactare suplimentară, iar pe de altă parte, pentru a restrânge aria de emisii de praf şi gaze de eşapament</w:t>
            </w:r>
          </w:p>
        </w:tc>
        <w:sdt>
          <w:sdtPr>
            <w:rPr>
              <w:rFonts w:ascii="Arial Narrow" w:eastAsia="Times New Roman" w:hAnsi="Arial Narrow" w:cs="Calibri"/>
              <w:color w:val="000000" w:themeColor="text1"/>
              <w:sz w:val="19"/>
              <w:szCs w:val="19"/>
              <w:lang w:val="en-US"/>
            </w:rPr>
            <w:id w:val="-144745667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03EC3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423375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C8A1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79478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62F4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442A58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00777C" w14:textId="77777777" w:rsidTr="00554583">
        <w:trPr>
          <w:trHeight w:val="840"/>
        </w:trPr>
        <w:tc>
          <w:tcPr>
            <w:tcW w:w="1266" w:type="dxa"/>
            <w:vMerge/>
            <w:tcBorders>
              <w:top w:val="nil"/>
              <w:left w:val="single" w:sz="4" w:space="0" w:color="auto"/>
              <w:bottom w:val="single" w:sz="4" w:space="0" w:color="auto"/>
              <w:right w:val="single" w:sz="4" w:space="0" w:color="auto"/>
            </w:tcBorders>
            <w:vAlign w:val="center"/>
            <w:hideMark/>
          </w:tcPr>
          <w:p w14:paraId="268B8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EBD8A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La sfarsitul perioadei de construcție, zonele afectate de lucrările de constructie (taluzuri, organizările de șantier, fronturi de lucru, drumuri de acces temporare, gropi de împrumut) vor fi reabilitate prin ecologizare, stabilizarea solului, așternerea de pământ vegetal, plantarea de vegetație specifica zonei</w:t>
            </w:r>
          </w:p>
        </w:tc>
        <w:sdt>
          <w:sdtPr>
            <w:rPr>
              <w:rFonts w:ascii="Arial Narrow" w:eastAsia="Times New Roman" w:hAnsi="Arial Narrow" w:cs="Calibri"/>
              <w:color w:val="000000" w:themeColor="text1"/>
              <w:sz w:val="19"/>
              <w:szCs w:val="19"/>
              <w:lang w:val="en-US"/>
            </w:rPr>
            <w:id w:val="10900472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E29B6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624430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700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362834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6F00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82C65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0BED2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AF4B58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E3C73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Pentru stabilizarea solului și reducerea emisiilor de pulberi, la sfârșitul perioadei de construcție, se vor realiza amenajări peisagistice pentru sensuri giratorii, intersecții, spații pentru servicii și CIC-uri (unde este cazul)</w:t>
            </w:r>
          </w:p>
        </w:tc>
        <w:sdt>
          <w:sdtPr>
            <w:rPr>
              <w:rFonts w:ascii="Arial Narrow" w:eastAsia="Times New Roman" w:hAnsi="Arial Narrow" w:cs="Calibri"/>
              <w:color w:val="000000" w:themeColor="text1"/>
              <w:sz w:val="19"/>
              <w:szCs w:val="19"/>
              <w:lang w:val="en-US"/>
            </w:rPr>
            <w:id w:val="-13121697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F63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182232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8848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96902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485CA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D16216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55700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596746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7FD18F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Amenajarea amplasamentelor de depozitare a deșeurilor și întreținerea sistemelor de colectare și evacuare a apelor uzate, care va conduce la evitarea emanațiilor de miros din zona parcărilor și a spațiilor de servicii, centrelor de întreținere</w:t>
            </w:r>
          </w:p>
        </w:tc>
        <w:sdt>
          <w:sdtPr>
            <w:rPr>
              <w:rFonts w:ascii="Arial Narrow" w:eastAsia="Times New Roman" w:hAnsi="Arial Narrow" w:cs="Calibri"/>
              <w:color w:val="000000" w:themeColor="text1"/>
              <w:sz w:val="19"/>
              <w:szCs w:val="19"/>
              <w:lang w:val="en-US"/>
            </w:rPr>
            <w:id w:val="14805718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4A6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62051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5CFC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02263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6168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F3998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33F1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5B7F89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C975B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Protecția locuitorilor prin amplasarea de perdele forestiere, care au rol de a reține particulele și unele gaze emise de către vehiculele din trafic (unde este cazul)</w:t>
            </w:r>
          </w:p>
        </w:tc>
        <w:sdt>
          <w:sdtPr>
            <w:rPr>
              <w:rFonts w:ascii="Arial Narrow" w:eastAsia="Times New Roman" w:hAnsi="Arial Narrow" w:cs="Calibri"/>
              <w:color w:val="000000" w:themeColor="text1"/>
              <w:sz w:val="19"/>
              <w:szCs w:val="19"/>
              <w:lang w:val="en-US"/>
            </w:rPr>
            <w:id w:val="-71858583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B64B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986799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8C418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7036694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BBB8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AAB71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A9C8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6D20C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325846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monitoriza permanent activitatea, în perioada de execuţie a lucrărilor (conform actului de reglementare al procedurii de mediu)</w:t>
            </w:r>
          </w:p>
        </w:tc>
        <w:sdt>
          <w:sdtPr>
            <w:rPr>
              <w:rFonts w:ascii="Arial Narrow" w:eastAsia="Times New Roman" w:hAnsi="Arial Narrow" w:cs="Calibri"/>
              <w:color w:val="000000" w:themeColor="text1"/>
              <w:sz w:val="19"/>
              <w:szCs w:val="19"/>
              <w:lang w:val="en-US"/>
            </w:rPr>
            <w:id w:val="-59840750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560F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91918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9AD3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996113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7BFB6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0B63F0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14CE94" w14:textId="77777777" w:rsidTr="00554583">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Protectia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nu este nevoie</w:t>
            </w:r>
            <w:r w:rsidRPr="001B1AB3">
              <w:rPr>
                <w:rFonts w:ascii="Arial Narrow" w:eastAsia="Times New Roman" w:hAnsi="Arial Narrow" w:cs="Calibri"/>
                <w:color w:val="000000"/>
                <w:sz w:val="19"/>
                <w:szCs w:val="19"/>
              </w:rPr>
              <w:t xml:space="preserve"> se se parcurga procedura de evaluare adecvata conform cerintelor legislative si ghidurilor la nivel national si european (daca raspunsul este DA, nu se mai completeaza sectiunile de mai jos)</w:t>
            </w:r>
          </w:p>
        </w:tc>
        <w:sdt>
          <w:sdtPr>
            <w:rPr>
              <w:rFonts w:ascii="Arial Narrow" w:eastAsia="Times New Roman" w:hAnsi="Arial Narrow" w:cs="Calibri"/>
              <w:color w:val="000000" w:themeColor="text1"/>
              <w:sz w:val="19"/>
              <w:szCs w:val="19"/>
              <w:lang w:val="en-US"/>
            </w:rPr>
            <w:id w:val="351159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659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243119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7048FF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D19D92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este nevoie se se parcurga</w:t>
            </w:r>
            <w:r w:rsidRPr="001B1AB3">
              <w:rPr>
                <w:rFonts w:ascii="Arial Narrow" w:eastAsia="Times New Roman" w:hAnsi="Arial Narrow" w:cs="Calibri"/>
                <w:color w:val="000000"/>
                <w:sz w:val="19"/>
                <w:szCs w:val="19"/>
              </w:rPr>
              <w:t xml:space="preserve"> procedura de evaluare adecvata (daca raspunsul este DA, se completeaza sectiunile de mai jos)</w:t>
            </w:r>
          </w:p>
        </w:tc>
        <w:sdt>
          <w:sdtPr>
            <w:rPr>
              <w:rFonts w:ascii="Arial Narrow" w:eastAsia="Times New Roman" w:hAnsi="Arial Narrow" w:cs="Calibri"/>
              <w:color w:val="000000" w:themeColor="text1"/>
              <w:sz w:val="19"/>
              <w:szCs w:val="19"/>
              <w:lang w:val="en-US"/>
            </w:rPr>
            <w:id w:val="-211250709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89470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7962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16865E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AB6C723"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3ADB5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1B5F2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12641497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F49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3001188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664816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448529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C571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99C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C3470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10276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67810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Studiul de evaluarea adecvata s-a elaborat in baza obiectivelor specifice de conservare elaborate de ANANP pentru fiecare specie si habitat potential afectat</w:t>
            </w:r>
          </w:p>
        </w:tc>
        <w:sdt>
          <w:sdtPr>
            <w:rPr>
              <w:rFonts w:ascii="Arial Narrow" w:eastAsia="Times New Roman" w:hAnsi="Arial Narrow" w:cs="Calibri"/>
              <w:color w:val="000000" w:themeColor="text1"/>
              <w:sz w:val="19"/>
              <w:szCs w:val="19"/>
              <w:lang w:val="en-US"/>
            </w:rPr>
            <w:id w:val="-24803844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6B8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774479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DAB7F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9438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4583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DCF5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B2F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987D5D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B2394A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efectuat ierarhizarea alternativelor de traseu astfel încât proiectul ale carui limite şi zone de influenţă nu intersectează limitele habitatelor prioritare / habitatelor speciilor prioritare să fie favorizate</w:t>
            </w:r>
          </w:p>
        </w:tc>
        <w:sdt>
          <w:sdtPr>
            <w:rPr>
              <w:rFonts w:ascii="Arial Narrow" w:eastAsia="Times New Roman" w:hAnsi="Arial Narrow" w:cs="Calibri"/>
              <w:color w:val="000000" w:themeColor="text1"/>
              <w:sz w:val="19"/>
              <w:szCs w:val="19"/>
              <w:lang w:val="en-US"/>
            </w:rPr>
            <w:id w:val="-2175968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0B056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5292070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DA99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314231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46859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7F185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6FF75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39E1A76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0DF40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propus masuri de prevenire si reducere a impactului asupra ariilor naturale protejate, incluse in proiectul autorizat</w:t>
            </w:r>
          </w:p>
        </w:tc>
        <w:sdt>
          <w:sdtPr>
            <w:rPr>
              <w:rFonts w:ascii="Arial Narrow" w:eastAsia="Times New Roman" w:hAnsi="Arial Narrow" w:cs="Calibri"/>
              <w:color w:val="000000" w:themeColor="text1"/>
              <w:sz w:val="19"/>
              <w:szCs w:val="19"/>
              <w:lang w:val="en-US"/>
            </w:rPr>
            <w:id w:val="-54613935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C02F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6517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F092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031264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B9AD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BB0B72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4648F3" w14:textId="77777777" w:rsidTr="00554583">
        <w:trPr>
          <w:trHeight w:val="1332"/>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identificate, propuse si integrate in proiect, soluții tehnice cu impact minim asupra mediului: deschiderile podurilor/viaductelor au fost stabilite astfel încât să asigure permeabilitatea faunei și să nu fie executate lucrări în albiile minore ale râurilor (acolo unde este posibil), au fost subtraversări pentru fauna de dimensiune mică / medie, au fost propuse garduri de protecție care să împiedice pătrunderea faunei la nivelul părții carosabile; au fost propuse panouri fonoabsorbante astfel încât nivelul zgomotului să nu afecteze mediul</w:t>
            </w:r>
          </w:p>
        </w:tc>
        <w:sdt>
          <w:sdtPr>
            <w:rPr>
              <w:rFonts w:ascii="Arial Narrow" w:eastAsia="Times New Roman" w:hAnsi="Arial Narrow" w:cs="Calibri"/>
              <w:color w:val="000000" w:themeColor="text1"/>
              <w:sz w:val="19"/>
              <w:szCs w:val="19"/>
              <w:lang w:val="en-US"/>
            </w:rPr>
            <w:id w:val="11187589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27692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31394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24AE7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FBF061" w14:textId="77777777" w:rsidTr="00554583">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In situatia in care nu exista solutii de evitare a ariilor naturale protejate iar proiectul fragmenteaza zonele de mobilitate ale speciilor sunt propuse soluţii pentru asigurarea permeabilităţii ce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 – conform actului de reglementare al procedurii de mediu (se completeaza numai daca exista aceasta situatie)</w:t>
            </w:r>
          </w:p>
        </w:tc>
        <w:sdt>
          <w:sdtPr>
            <w:rPr>
              <w:rFonts w:ascii="Arial Narrow" w:eastAsia="Times New Roman" w:hAnsi="Arial Narrow" w:cs="Calibri"/>
              <w:color w:val="000000" w:themeColor="text1"/>
              <w:sz w:val="19"/>
              <w:szCs w:val="19"/>
              <w:lang w:val="en-US"/>
            </w:rPr>
            <w:id w:val="-750615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6325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72012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2B94E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7869AE"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prevazute masuri privind interzicerea amplasarii organizărilor de șantier și a altor construcții temporare în cadrul ariilor naturale protejate / în zonele împădurite / pe malul corpurilor de apă de suprafață sau în imediata vecinătate a acestora</w:t>
            </w:r>
          </w:p>
        </w:tc>
        <w:sdt>
          <w:sdtPr>
            <w:rPr>
              <w:rFonts w:ascii="Arial Narrow" w:eastAsia="Times New Roman" w:hAnsi="Arial Narrow" w:cs="Calibri"/>
              <w:color w:val="000000" w:themeColor="text1"/>
              <w:sz w:val="19"/>
              <w:szCs w:val="19"/>
              <w:lang w:val="en-US"/>
            </w:rPr>
            <w:id w:val="-109955961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93995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40988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4162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6F0C7F0"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Exista un Plan de identificare şi control al speciilor invazive</w:t>
            </w:r>
          </w:p>
        </w:tc>
        <w:sdt>
          <w:sdtPr>
            <w:rPr>
              <w:rFonts w:ascii="Arial Narrow" w:eastAsia="Times New Roman" w:hAnsi="Arial Narrow" w:cs="Calibri"/>
              <w:color w:val="000000" w:themeColor="text1"/>
              <w:sz w:val="19"/>
              <w:szCs w:val="19"/>
              <w:lang w:val="en-US"/>
            </w:rPr>
            <w:id w:val="-118852404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269249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9170292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DC9849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20BFFB5" w14:textId="77777777" w:rsidTr="00554583">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Soluţiile adoptate asigura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sunt adaptate particularităţilor speciilor potenţial afectate, s-a acordat prioritate implementării soluţiilor pentru care poate fi documentată eficacitatea</w:t>
            </w:r>
          </w:p>
        </w:tc>
        <w:sdt>
          <w:sdtPr>
            <w:rPr>
              <w:rFonts w:ascii="Arial Narrow" w:eastAsia="Times New Roman" w:hAnsi="Arial Narrow" w:cs="Calibri"/>
              <w:color w:val="000000" w:themeColor="text1"/>
              <w:sz w:val="19"/>
              <w:szCs w:val="19"/>
              <w:lang w:val="en-US"/>
            </w:rPr>
            <w:id w:val="-91825372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63733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97210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88D97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B8E626F" w14:textId="77777777" w:rsidTr="00554583">
        <w:trPr>
          <w:trHeight w:val="1008"/>
        </w:trPr>
        <w:tc>
          <w:tcPr>
            <w:tcW w:w="1266" w:type="dxa"/>
            <w:vMerge/>
            <w:tcBorders>
              <w:top w:val="nil"/>
              <w:left w:val="single" w:sz="4" w:space="0" w:color="auto"/>
              <w:bottom w:val="single" w:sz="4" w:space="0" w:color="auto"/>
              <w:right w:val="single" w:sz="4" w:space="0" w:color="auto"/>
            </w:tcBorders>
            <w:vAlign w:val="center"/>
            <w:hideMark/>
          </w:tcPr>
          <w:p w14:paraId="215D62D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6A5089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Este propusa imprejmuirea sectoarelor de autostradă cu gard de protecţie cu înălţimea de 1,80 m în zonele împădurite şi 1,50 m în zonele neîmpădurite, în vederea eliminării accesului accidental al animalelor sau al persoanelor neparticipante la traficul rutier, pe platforma drumului; administratorul drumului are obligaţia de a asigura integritatea acestei împrejmuiri în toată perioada de operare a sectoarelor de autostradă (se completeaza daca aceasta masura este impusa prin actul de reglementare) </w:t>
            </w:r>
          </w:p>
        </w:tc>
        <w:sdt>
          <w:sdtPr>
            <w:rPr>
              <w:rFonts w:ascii="Arial Narrow" w:eastAsia="Times New Roman" w:hAnsi="Arial Narrow" w:cs="Calibri"/>
              <w:color w:val="000000" w:themeColor="text1"/>
              <w:sz w:val="19"/>
              <w:szCs w:val="19"/>
              <w:lang w:val="en-US"/>
            </w:rPr>
            <w:id w:val="16183262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47E5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0778160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3CF6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79804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CAA9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FDE3B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0156308"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631E4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58C8C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Masuri pentru retenţia poluanţilor şi evitarea poluărilor accidentale</w:t>
            </w:r>
          </w:p>
        </w:tc>
        <w:sdt>
          <w:sdtPr>
            <w:rPr>
              <w:rFonts w:ascii="Arial Narrow" w:eastAsia="Times New Roman" w:hAnsi="Arial Narrow" w:cs="Calibri"/>
              <w:color w:val="000000" w:themeColor="text1"/>
              <w:sz w:val="19"/>
              <w:szCs w:val="19"/>
              <w:lang w:val="en-US"/>
            </w:rPr>
            <w:id w:val="-10046694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08A2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989479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3D50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1452436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F28D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0E8BC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9033AFC"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F84E88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8DA17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Lucrările de plantare (ex: amenajarea taluzelor, lucrări de reabilitare, amenajări de spaţii verzi, înfiinţări de perdelele forestiere, etc.) utilizeaza specii vegetale native caracteristice zonei de implementare a proiectului</w:t>
            </w:r>
          </w:p>
        </w:tc>
        <w:sdt>
          <w:sdtPr>
            <w:rPr>
              <w:rFonts w:ascii="Arial Narrow" w:eastAsia="Times New Roman" w:hAnsi="Arial Narrow" w:cs="Calibri"/>
              <w:color w:val="000000" w:themeColor="text1"/>
              <w:sz w:val="19"/>
              <w:szCs w:val="19"/>
              <w:lang w:val="en-US"/>
            </w:rPr>
            <w:id w:val="-17572724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168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35573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DF5F53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8408187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CC1BC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452D6B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57B67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BFACAF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F490B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masuri de evitare a surselor de lumină care atrag speciile zburătoare în zonele cu risc de coliziune de la nivelul drumurilor</w:t>
            </w:r>
          </w:p>
        </w:tc>
        <w:sdt>
          <w:sdtPr>
            <w:rPr>
              <w:rFonts w:ascii="Arial Narrow" w:eastAsia="Times New Roman" w:hAnsi="Arial Narrow" w:cs="Calibri"/>
              <w:color w:val="000000" w:themeColor="text1"/>
              <w:sz w:val="19"/>
              <w:szCs w:val="19"/>
              <w:lang w:val="en-US"/>
            </w:rPr>
            <w:id w:val="14531393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3990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213106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6A0A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386611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30BF1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F1FE40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947643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p>
        </w:tc>
        <w:sdt>
          <w:sdtPr>
            <w:rPr>
              <w:rFonts w:ascii="Arial Narrow" w:eastAsia="Times New Roman" w:hAnsi="Arial Narrow" w:cs="Calibri"/>
              <w:color w:val="000000" w:themeColor="text1"/>
              <w:sz w:val="19"/>
              <w:szCs w:val="19"/>
              <w:lang w:val="en-US"/>
            </w:rPr>
            <w:id w:val="9667894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FC8112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17117D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monitoriza implementarea măsurilor de prevenire / reducere a impactului asupra biodiversitatii</w:t>
            </w:r>
          </w:p>
        </w:tc>
        <w:sdt>
          <w:sdtPr>
            <w:rPr>
              <w:rFonts w:ascii="Arial Narrow" w:eastAsia="Times New Roman" w:hAnsi="Arial Narrow" w:cs="Calibri"/>
              <w:color w:val="000000" w:themeColor="text1"/>
              <w:sz w:val="19"/>
              <w:szCs w:val="19"/>
              <w:lang w:val="en-US"/>
            </w:rPr>
            <w:id w:val="2641205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3190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DF93CE5"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AACB9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F4A8DE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91424755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3D5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6193186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955A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537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C70C0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426578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77777777" w:rsidR="00466338" w:rsidRPr="001B1AB3" w:rsidRDefault="00466338" w:rsidP="00466338">
      <w:pPr>
        <w:rPr>
          <w:sz w:val="20"/>
          <w:szCs w:val="20"/>
          <w:lang w:val="fr-BE"/>
        </w:rPr>
      </w:pPr>
    </w:p>
    <w:sectPr w:rsidR="00466338" w:rsidRPr="001B1AB3"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7B230" w14:textId="77777777" w:rsidR="000108AD" w:rsidRDefault="000108AD" w:rsidP="003C6E29">
      <w:pPr>
        <w:spacing w:after="0" w:line="240" w:lineRule="auto"/>
      </w:pPr>
      <w:r>
        <w:separator/>
      </w:r>
    </w:p>
  </w:endnote>
  <w:endnote w:type="continuationSeparator" w:id="0">
    <w:p w14:paraId="06E879F4" w14:textId="77777777" w:rsidR="000108AD" w:rsidRDefault="000108AD"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528415"/>
      <w:docPartObj>
        <w:docPartGallery w:val="Page Numbers (Bottom of Page)"/>
        <w:docPartUnique/>
      </w:docPartObj>
    </w:sdtPr>
    <w:sdtEndPr/>
    <w:sdtContent>
      <w:p w14:paraId="052E3CAA" w14:textId="05084B8D" w:rsidR="00EA4EA6" w:rsidRDefault="00EA4EA6">
        <w:pPr>
          <w:pStyle w:val="Footer"/>
          <w:jc w:val="center"/>
        </w:pPr>
        <w:r>
          <w:fldChar w:fldCharType="begin"/>
        </w:r>
        <w:r>
          <w:instrText>PAGE   \* MERGEFORMAT</w:instrText>
        </w:r>
        <w:r>
          <w:fldChar w:fldCharType="separate"/>
        </w:r>
        <w:r w:rsidR="006F459D">
          <w:rPr>
            <w:noProof/>
          </w:rPr>
          <w:t>1</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A6FA5" w14:textId="77777777" w:rsidR="000108AD" w:rsidRDefault="000108AD" w:rsidP="003C6E29">
      <w:pPr>
        <w:spacing w:after="0" w:line="240" w:lineRule="auto"/>
      </w:pPr>
      <w:r>
        <w:separator/>
      </w:r>
    </w:p>
  </w:footnote>
  <w:footnote w:type="continuationSeparator" w:id="0">
    <w:p w14:paraId="4D6A4480" w14:textId="77777777" w:rsidR="000108AD" w:rsidRDefault="000108AD" w:rsidP="003C6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71"/>
  </w:num>
  <w:num w:numId="3">
    <w:abstractNumId w:val="196"/>
  </w:num>
  <w:num w:numId="4">
    <w:abstractNumId w:val="121"/>
  </w:num>
  <w:num w:numId="5">
    <w:abstractNumId w:val="179"/>
  </w:num>
  <w:num w:numId="6">
    <w:abstractNumId w:val="107"/>
  </w:num>
  <w:num w:numId="7">
    <w:abstractNumId w:val="60"/>
  </w:num>
  <w:num w:numId="8">
    <w:abstractNumId w:val="58"/>
  </w:num>
  <w:num w:numId="9">
    <w:abstractNumId w:val="14"/>
  </w:num>
  <w:num w:numId="10">
    <w:abstractNumId w:val="92"/>
  </w:num>
  <w:num w:numId="11">
    <w:abstractNumId w:val="23"/>
  </w:num>
  <w:num w:numId="12">
    <w:abstractNumId w:val="130"/>
  </w:num>
  <w:num w:numId="13">
    <w:abstractNumId w:val="49"/>
  </w:num>
  <w:num w:numId="14">
    <w:abstractNumId w:val="96"/>
  </w:num>
  <w:num w:numId="15">
    <w:abstractNumId w:val="73"/>
  </w:num>
  <w:num w:numId="16">
    <w:abstractNumId w:val="175"/>
  </w:num>
  <w:num w:numId="17">
    <w:abstractNumId w:val="9"/>
  </w:num>
  <w:num w:numId="18">
    <w:abstractNumId w:val="87"/>
  </w:num>
  <w:num w:numId="19">
    <w:abstractNumId w:val="18"/>
  </w:num>
  <w:num w:numId="20">
    <w:abstractNumId w:val="104"/>
  </w:num>
  <w:num w:numId="21">
    <w:abstractNumId w:val="141"/>
  </w:num>
  <w:num w:numId="22">
    <w:abstractNumId w:val="140"/>
  </w:num>
  <w:num w:numId="23">
    <w:abstractNumId w:val="66"/>
  </w:num>
  <w:num w:numId="24">
    <w:abstractNumId w:val="180"/>
  </w:num>
  <w:num w:numId="25">
    <w:abstractNumId w:val="98"/>
  </w:num>
  <w:num w:numId="26">
    <w:abstractNumId w:val="174"/>
  </w:num>
  <w:num w:numId="27">
    <w:abstractNumId w:val="26"/>
  </w:num>
  <w:num w:numId="28">
    <w:abstractNumId w:val="147"/>
  </w:num>
  <w:num w:numId="29">
    <w:abstractNumId w:val="157"/>
  </w:num>
  <w:num w:numId="30">
    <w:abstractNumId w:val="182"/>
  </w:num>
  <w:num w:numId="31">
    <w:abstractNumId w:val="117"/>
  </w:num>
  <w:num w:numId="32">
    <w:abstractNumId w:val="77"/>
  </w:num>
  <w:num w:numId="33">
    <w:abstractNumId w:val="61"/>
  </w:num>
  <w:num w:numId="34">
    <w:abstractNumId w:val="4"/>
  </w:num>
  <w:num w:numId="35">
    <w:abstractNumId w:val="102"/>
  </w:num>
  <w:num w:numId="36">
    <w:abstractNumId w:val="57"/>
  </w:num>
  <w:num w:numId="37">
    <w:abstractNumId w:val="7"/>
  </w:num>
  <w:num w:numId="38">
    <w:abstractNumId w:val="94"/>
  </w:num>
  <w:num w:numId="39">
    <w:abstractNumId w:val="189"/>
  </w:num>
  <w:num w:numId="40">
    <w:abstractNumId w:val="101"/>
  </w:num>
  <w:num w:numId="41">
    <w:abstractNumId w:val="192"/>
  </w:num>
  <w:num w:numId="42">
    <w:abstractNumId w:val="48"/>
  </w:num>
  <w:num w:numId="43">
    <w:abstractNumId w:val="59"/>
  </w:num>
  <w:num w:numId="44">
    <w:abstractNumId w:val="173"/>
  </w:num>
  <w:num w:numId="45">
    <w:abstractNumId w:val="19"/>
  </w:num>
  <w:num w:numId="46">
    <w:abstractNumId w:val="156"/>
  </w:num>
  <w:num w:numId="47">
    <w:abstractNumId w:val="126"/>
  </w:num>
  <w:num w:numId="48">
    <w:abstractNumId w:val="124"/>
  </w:num>
  <w:num w:numId="49">
    <w:abstractNumId w:val="85"/>
  </w:num>
  <w:num w:numId="50">
    <w:abstractNumId w:val="132"/>
  </w:num>
  <w:num w:numId="51">
    <w:abstractNumId w:val="80"/>
  </w:num>
  <w:num w:numId="52">
    <w:abstractNumId w:val="12"/>
  </w:num>
  <w:num w:numId="53">
    <w:abstractNumId w:val="158"/>
  </w:num>
  <w:num w:numId="54">
    <w:abstractNumId w:val="154"/>
  </w:num>
  <w:num w:numId="55">
    <w:abstractNumId w:val="165"/>
  </w:num>
  <w:num w:numId="56">
    <w:abstractNumId w:val="65"/>
  </w:num>
  <w:num w:numId="57">
    <w:abstractNumId w:val="106"/>
  </w:num>
  <w:num w:numId="58">
    <w:abstractNumId w:val="75"/>
  </w:num>
  <w:num w:numId="59">
    <w:abstractNumId w:val="40"/>
  </w:num>
  <w:num w:numId="60">
    <w:abstractNumId w:val="34"/>
  </w:num>
  <w:num w:numId="61">
    <w:abstractNumId w:val="76"/>
  </w:num>
  <w:num w:numId="62">
    <w:abstractNumId w:val="188"/>
  </w:num>
  <w:num w:numId="63">
    <w:abstractNumId w:val="16"/>
  </w:num>
  <w:num w:numId="64">
    <w:abstractNumId w:val="54"/>
  </w:num>
  <w:num w:numId="65">
    <w:abstractNumId w:val="127"/>
  </w:num>
  <w:num w:numId="66">
    <w:abstractNumId w:val="74"/>
  </w:num>
  <w:num w:numId="67">
    <w:abstractNumId w:val="69"/>
  </w:num>
  <w:num w:numId="68">
    <w:abstractNumId w:val="197"/>
  </w:num>
  <w:num w:numId="69">
    <w:abstractNumId w:val="90"/>
  </w:num>
  <w:num w:numId="70">
    <w:abstractNumId w:val="148"/>
  </w:num>
  <w:num w:numId="71">
    <w:abstractNumId w:val="108"/>
  </w:num>
  <w:num w:numId="72">
    <w:abstractNumId w:val="11"/>
  </w:num>
  <w:num w:numId="73">
    <w:abstractNumId w:val="42"/>
  </w:num>
  <w:num w:numId="74">
    <w:abstractNumId w:val="15"/>
  </w:num>
  <w:num w:numId="75">
    <w:abstractNumId w:val="88"/>
  </w:num>
  <w:num w:numId="76">
    <w:abstractNumId w:val="198"/>
  </w:num>
  <w:num w:numId="77">
    <w:abstractNumId w:val="99"/>
  </w:num>
  <w:num w:numId="78">
    <w:abstractNumId w:val="56"/>
  </w:num>
  <w:num w:numId="79">
    <w:abstractNumId w:val="170"/>
  </w:num>
  <w:num w:numId="80">
    <w:abstractNumId w:val="138"/>
  </w:num>
  <w:num w:numId="81">
    <w:abstractNumId w:val="195"/>
  </w:num>
  <w:num w:numId="82">
    <w:abstractNumId w:val="129"/>
  </w:num>
  <w:num w:numId="83">
    <w:abstractNumId w:val="145"/>
  </w:num>
  <w:num w:numId="84">
    <w:abstractNumId w:val="89"/>
  </w:num>
  <w:num w:numId="85">
    <w:abstractNumId w:val="131"/>
  </w:num>
  <w:num w:numId="86">
    <w:abstractNumId w:val="116"/>
  </w:num>
  <w:num w:numId="87">
    <w:abstractNumId w:val="20"/>
  </w:num>
  <w:num w:numId="88">
    <w:abstractNumId w:val="161"/>
  </w:num>
  <w:num w:numId="89">
    <w:abstractNumId w:val="78"/>
  </w:num>
  <w:num w:numId="90">
    <w:abstractNumId w:val="191"/>
  </w:num>
  <w:num w:numId="91">
    <w:abstractNumId w:val="169"/>
  </w:num>
  <w:num w:numId="92">
    <w:abstractNumId w:val="111"/>
  </w:num>
  <w:num w:numId="93">
    <w:abstractNumId w:val="167"/>
  </w:num>
  <w:num w:numId="94">
    <w:abstractNumId w:val="164"/>
  </w:num>
  <w:num w:numId="95">
    <w:abstractNumId w:val="93"/>
  </w:num>
  <w:num w:numId="96">
    <w:abstractNumId w:val="142"/>
  </w:num>
  <w:num w:numId="97">
    <w:abstractNumId w:val="163"/>
  </w:num>
  <w:num w:numId="98">
    <w:abstractNumId w:val="5"/>
  </w:num>
  <w:num w:numId="99">
    <w:abstractNumId w:val="6"/>
  </w:num>
  <w:num w:numId="100">
    <w:abstractNumId w:val="162"/>
  </w:num>
  <w:num w:numId="101">
    <w:abstractNumId w:val="149"/>
  </w:num>
  <w:num w:numId="102">
    <w:abstractNumId w:val="120"/>
  </w:num>
  <w:num w:numId="103">
    <w:abstractNumId w:val="45"/>
  </w:num>
  <w:num w:numId="104">
    <w:abstractNumId w:val="186"/>
  </w:num>
  <w:num w:numId="105">
    <w:abstractNumId w:val="33"/>
  </w:num>
  <w:num w:numId="106">
    <w:abstractNumId w:val="135"/>
  </w:num>
  <w:num w:numId="107">
    <w:abstractNumId w:val="44"/>
  </w:num>
  <w:num w:numId="108">
    <w:abstractNumId w:val="27"/>
  </w:num>
  <w:num w:numId="109">
    <w:abstractNumId w:val="100"/>
  </w:num>
  <w:num w:numId="110">
    <w:abstractNumId w:val="190"/>
  </w:num>
  <w:num w:numId="111">
    <w:abstractNumId w:val="185"/>
  </w:num>
  <w:num w:numId="112">
    <w:abstractNumId w:val="125"/>
  </w:num>
  <w:num w:numId="113">
    <w:abstractNumId w:val="122"/>
  </w:num>
  <w:num w:numId="114">
    <w:abstractNumId w:val="143"/>
  </w:num>
  <w:num w:numId="115">
    <w:abstractNumId w:val="103"/>
  </w:num>
  <w:num w:numId="116">
    <w:abstractNumId w:val="136"/>
  </w:num>
  <w:num w:numId="117">
    <w:abstractNumId w:val="95"/>
  </w:num>
  <w:num w:numId="118">
    <w:abstractNumId w:val="172"/>
  </w:num>
  <w:num w:numId="119">
    <w:abstractNumId w:val="41"/>
  </w:num>
  <w:num w:numId="120">
    <w:abstractNumId w:val="109"/>
  </w:num>
  <w:num w:numId="121">
    <w:abstractNumId w:val="62"/>
  </w:num>
  <w:num w:numId="122">
    <w:abstractNumId w:val="183"/>
  </w:num>
  <w:num w:numId="123">
    <w:abstractNumId w:val="155"/>
  </w:num>
  <w:num w:numId="124">
    <w:abstractNumId w:val="152"/>
  </w:num>
  <w:num w:numId="125">
    <w:abstractNumId w:val="43"/>
  </w:num>
  <w:num w:numId="126">
    <w:abstractNumId w:val="84"/>
  </w:num>
  <w:num w:numId="127">
    <w:abstractNumId w:val="35"/>
  </w:num>
  <w:num w:numId="128">
    <w:abstractNumId w:val="52"/>
  </w:num>
  <w:num w:numId="129">
    <w:abstractNumId w:val="110"/>
  </w:num>
  <w:num w:numId="130">
    <w:abstractNumId w:val="31"/>
  </w:num>
  <w:num w:numId="131">
    <w:abstractNumId w:val="176"/>
  </w:num>
  <w:num w:numId="132">
    <w:abstractNumId w:val="115"/>
  </w:num>
  <w:num w:numId="133">
    <w:abstractNumId w:val="86"/>
  </w:num>
  <w:num w:numId="134">
    <w:abstractNumId w:val="64"/>
  </w:num>
  <w:num w:numId="135">
    <w:abstractNumId w:val="166"/>
  </w:num>
  <w:num w:numId="136">
    <w:abstractNumId w:val="38"/>
  </w:num>
  <w:num w:numId="137">
    <w:abstractNumId w:val="79"/>
  </w:num>
  <w:num w:numId="138">
    <w:abstractNumId w:val="133"/>
  </w:num>
  <w:num w:numId="139">
    <w:abstractNumId w:val="8"/>
  </w:num>
  <w:num w:numId="140">
    <w:abstractNumId w:val="194"/>
  </w:num>
  <w:num w:numId="141">
    <w:abstractNumId w:val="37"/>
  </w:num>
  <w:num w:numId="142">
    <w:abstractNumId w:val="1"/>
  </w:num>
  <w:num w:numId="143">
    <w:abstractNumId w:val="113"/>
  </w:num>
  <w:num w:numId="144">
    <w:abstractNumId w:val="181"/>
  </w:num>
  <w:num w:numId="145">
    <w:abstractNumId w:val="168"/>
  </w:num>
  <w:num w:numId="146">
    <w:abstractNumId w:val="39"/>
  </w:num>
  <w:num w:numId="147">
    <w:abstractNumId w:val="112"/>
  </w:num>
  <w:num w:numId="148">
    <w:abstractNumId w:val="139"/>
  </w:num>
  <w:num w:numId="149">
    <w:abstractNumId w:val="72"/>
  </w:num>
  <w:num w:numId="150">
    <w:abstractNumId w:val="55"/>
  </w:num>
  <w:num w:numId="151">
    <w:abstractNumId w:val="146"/>
  </w:num>
  <w:num w:numId="152">
    <w:abstractNumId w:val="36"/>
  </w:num>
  <w:num w:numId="153">
    <w:abstractNumId w:val="24"/>
  </w:num>
  <w:num w:numId="154">
    <w:abstractNumId w:val="68"/>
  </w:num>
  <w:num w:numId="155">
    <w:abstractNumId w:val="53"/>
  </w:num>
  <w:num w:numId="156">
    <w:abstractNumId w:val="178"/>
  </w:num>
  <w:num w:numId="157">
    <w:abstractNumId w:val="83"/>
  </w:num>
  <w:num w:numId="158">
    <w:abstractNumId w:val="128"/>
  </w:num>
  <w:num w:numId="159">
    <w:abstractNumId w:val="137"/>
  </w:num>
  <w:num w:numId="160">
    <w:abstractNumId w:val="10"/>
  </w:num>
  <w:num w:numId="161">
    <w:abstractNumId w:val="51"/>
  </w:num>
  <w:num w:numId="162">
    <w:abstractNumId w:val="150"/>
  </w:num>
  <w:num w:numId="163">
    <w:abstractNumId w:val="177"/>
  </w:num>
  <w:num w:numId="164">
    <w:abstractNumId w:val="21"/>
  </w:num>
  <w:num w:numId="165">
    <w:abstractNumId w:val="134"/>
  </w:num>
  <w:num w:numId="166">
    <w:abstractNumId w:val="82"/>
  </w:num>
  <w:num w:numId="167">
    <w:abstractNumId w:val="30"/>
  </w:num>
  <w:num w:numId="168">
    <w:abstractNumId w:val="63"/>
  </w:num>
  <w:num w:numId="169">
    <w:abstractNumId w:val="105"/>
  </w:num>
  <w:num w:numId="170">
    <w:abstractNumId w:val="118"/>
  </w:num>
  <w:num w:numId="171">
    <w:abstractNumId w:val="3"/>
  </w:num>
  <w:num w:numId="172">
    <w:abstractNumId w:val="114"/>
  </w:num>
  <w:num w:numId="173">
    <w:abstractNumId w:val="171"/>
  </w:num>
  <w:num w:numId="174">
    <w:abstractNumId w:val="151"/>
  </w:num>
  <w:num w:numId="175">
    <w:abstractNumId w:val="50"/>
  </w:num>
  <w:num w:numId="176">
    <w:abstractNumId w:val="28"/>
  </w:num>
  <w:num w:numId="177">
    <w:abstractNumId w:val="81"/>
  </w:num>
  <w:num w:numId="178">
    <w:abstractNumId w:val="119"/>
  </w:num>
  <w:num w:numId="179">
    <w:abstractNumId w:val="153"/>
  </w:num>
  <w:num w:numId="180">
    <w:abstractNumId w:val="46"/>
  </w:num>
  <w:num w:numId="181">
    <w:abstractNumId w:val="70"/>
  </w:num>
  <w:num w:numId="182">
    <w:abstractNumId w:val="47"/>
  </w:num>
  <w:num w:numId="183">
    <w:abstractNumId w:val="2"/>
  </w:num>
  <w:num w:numId="184">
    <w:abstractNumId w:val="91"/>
  </w:num>
  <w:num w:numId="185">
    <w:abstractNumId w:val="29"/>
  </w:num>
  <w:num w:numId="186">
    <w:abstractNumId w:val="22"/>
  </w:num>
  <w:num w:numId="187">
    <w:abstractNumId w:val="32"/>
  </w:num>
  <w:num w:numId="188">
    <w:abstractNumId w:val="159"/>
  </w:num>
  <w:num w:numId="189">
    <w:abstractNumId w:val="13"/>
  </w:num>
  <w:num w:numId="190">
    <w:abstractNumId w:val="17"/>
  </w:num>
  <w:num w:numId="191">
    <w:abstractNumId w:val="0"/>
  </w:num>
  <w:num w:numId="192">
    <w:abstractNumId w:val="25"/>
  </w:num>
  <w:num w:numId="193">
    <w:abstractNumId w:val="193"/>
  </w:num>
  <w:num w:numId="194">
    <w:abstractNumId w:val="187"/>
  </w:num>
  <w:num w:numId="195">
    <w:abstractNumId w:val="184"/>
  </w:num>
  <w:num w:numId="196">
    <w:abstractNumId w:val="144"/>
  </w:num>
  <w:num w:numId="197">
    <w:abstractNumId w:val="160"/>
  </w:num>
  <w:num w:numId="198">
    <w:abstractNumId w:val="123"/>
  </w:num>
  <w:num w:numId="199">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29"/>
    <w:rsid w:val="00000B80"/>
    <w:rsid w:val="00003476"/>
    <w:rsid w:val="00003F04"/>
    <w:rsid w:val="000072BD"/>
    <w:rsid w:val="000108A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459D"/>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3892FEA4-0683-4D43-97C2-C66BF5ED9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2202</Words>
  <Characters>12776</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14949</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Maria DANILA</cp:lastModifiedBy>
  <cp:revision>2</cp:revision>
  <cp:lastPrinted>2017-03-06T09:18:00Z</cp:lastPrinted>
  <dcterms:created xsi:type="dcterms:W3CDTF">2023-05-29T07:50:00Z</dcterms:created>
  <dcterms:modified xsi:type="dcterms:W3CDTF">2023-05-29T07:50:00Z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