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B7D" w:rsidRDefault="007B3D9E" w:rsidP="00382B7D">
      <w:pPr>
        <w:pStyle w:val="TechnicalBlock"/>
        <w:ind w:left="-1134" w:right="-1134"/>
      </w:pPr>
      <w:bookmarkStart w:id="0" w:name="DW_BM_COVERPAGE"/>
      <w:bookmarkStart w:id="1" w:name="_GoBack"/>
      <w:bookmarkEnd w:id="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718ad6b7-e143-41df-873d-a0c3e711a415_0" style="width:568.5pt;height:429.2pt">
            <v:imagedata r:id="rId9" o:title=""/>
          </v:shape>
        </w:pict>
      </w:r>
      <w:bookmarkEnd w:id="0"/>
    </w:p>
    <w:p w:rsidR="00382B7D" w:rsidRDefault="00382B7D" w:rsidP="00382B7D">
      <w:pPr>
        <w:pStyle w:val="EntText"/>
        <w:spacing w:before="480"/>
      </w:pPr>
      <w:r w:rsidRPr="00382B7D">
        <w:t xml:space="preserve">În anexă, se pune la dispoziția delegațiilor documentul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382B7D">
        <w:instrText>COM(2017) 47 final - ANNEX 1</w:instrText>
      </w:r>
      <w:r>
        <w:instrText xml:space="preserve">" </w:instrText>
      </w:r>
      <w:r>
        <w:fldChar w:fldCharType="separate"/>
      </w:r>
      <w:r w:rsidRPr="00382B7D">
        <w:t>COM(2017) 47 final - ANNEX 1</w:t>
      </w:r>
      <w:r>
        <w:fldChar w:fldCharType="end"/>
      </w:r>
      <w:r w:rsidRPr="00382B7D">
        <w:t>.</w:t>
      </w:r>
    </w:p>
    <w:p w:rsidR="00382B7D" w:rsidRDefault="00382B7D" w:rsidP="00382B7D">
      <w:pPr>
        <w:pStyle w:val="Lignefinal"/>
      </w:pPr>
    </w:p>
    <w:p w:rsidR="00382B7D" w:rsidRPr="00382B7D" w:rsidRDefault="00382B7D" w:rsidP="00382B7D">
      <w:pPr>
        <w:pStyle w:val="pj"/>
        <w:spacing w:before="120"/>
      </w:pPr>
      <w:r w:rsidRPr="00382B7D">
        <w:t xml:space="preserve">Anexă: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Pr="00382B7D">
        <w:instrText>COM(2017) 47 final - ANNEX 1</w:instrText>
      </w:r>
      <w:r>
        <w:instrText xml:space="preserve">" </w:instrText>
      </w:r>
      <w:r>
        <w:fldChar w:fldCharType="separate"/>
      </w:r>
      <w:r w:rsidRPr="00382B7D">
        <w:t>COM(2017) 47 final - ANNEX 1</w:t>
      </w:r>
      <w:r>
        <w:fldChar w:fldCharType="end"/>
      </w:r>
    </w:p>
    <w:p w:rsidR="00382B7D" w:rsidRDefault="00382B7D" w:rsidP="00382B7D">
      <w:pPr>
        <w:rPr>
          <w:noProof/>
        </w:rPr>
        <w:sectPr w:rsidR="00382B7D" w:rsidSect="007B3D9E">
          <w:headerReference w:type="even" r:id="rId10"/>
          <w:headerReference w:type="default" r:id="rId11"/>
          <w:footerReference w:type="even" r:id="rId12"/>
          <w:footerReference w:type="default" r:id="rId13"/>
          <w:headerReference w:type="first" r:id="rId14"/>
          <w:footerReference w:type="first" r:id="rId15"/>
          <w:pgSz w:w="11907" w:h="16839"/>
          <w:pgMar w:top="624" w:right="1134" w:bottom="1134" w:left="1134" w:header="567" w:footer="567" w:gutter="0"/>
          <w:pgNumType w:start="0"/>
          <w:cols w:space="720"/>
          <w:titlePg/>
          <w:docGrid w:linePitch="360"/>
        </w:sectPr>
      </w:pPr>
    </w:p>
    <w:p w:rsidR="0028078B" w:rsidRDefault="007B3D9E">
      <w:pPr>
        <w:pStyle w:val="Pagedecouverture"/>
        <w:rPr>
          <w:noProof/>
        </w:rPr>
      </w:pPr>
      <w:r>
        <w:rPr>
          <w:noProof/>
        </w:rPr>
        <w:lastRenderedPageBreak/>
        <w:pict>
          <v:shape id="_x0000_i1026" type="#_x0000_t75" alt="5A1E91029023474CB6F0C4780275B87A" style="width:449.75pt;height:418.9pt">
            <v:imagedata r:id="rId16" o:title=""/>
          </v:shape>
        </w:pict>
      </w:r>
    </w:p>
    <w:p w:rsidR="0028078B" w:rsidRDefault="0028078B">
      <w:pPr>
        <w:rPr>
          <w:noProof/>
        </w:rPr>
        <w:sectPr w:rsidR="0028078B">
          <w:headerReference w:type="even" r:id="rId17"/>
          <w:headerReference w:type="default" r:id="rId18"/>
          <w:footerReference w:type="even" r:id="rId19"/>
          <w:footerReference w:type="default" r:id="rId20"/>
          <w:headerReference w:type="first" r:id="rId21"/>
          <w:footerReference w:type="first" r:id="rId22"/>
          <w:pgSz w:w="11907" w:h="16839"/>
          <w:pgMar w:top="1134" w:right="1417" w:bottom="1134" w:left="1417" w:header="709" w:footer="709" w:gutter="0"/>
          <w:pgNumType w:start="1"/>
          <w:cols w:space="720"/>
          <w:docGrid w:linePitch="360"/>
        </w:sectPr>
      </w:pPr>
    </w:p>
    <w:p w:rsidR="0028078B" w:rsidRDefault="00382B7D">
      <w:pPr>
        <w:pStyle w:val="Typedudocument"/>
        <w:rPr>
          <w:noProof/>
        </w:rPr>
      </w:pPr>
      <w:r>
        <w:rPr>
          <w:noProof/>
        </w:rPr>
        <w:lastRenderedPageBreak/>
        <w:t>ANEXĂ</w:t>
      </w:r>
    </w:p>
    <w:p w:rsidR="0028078B" w:rsidRDefault="00382B7D">
      <w:pPr>
        <w:pStyle w:val="Titreobjet"/>
        <w:rPr>
          <w:noProof/>
        </w:rPr>
      </w:pPr>
      <w:r>
        <w:rPr>
          <w:noProof/>
        </w:rPr>
        <w:t>la</w:t>
      </w:r>
      <w:r>
        <w:rPr>
          <w:noProof/>
        </w:rPr>
        <w:br/>
      </w:r>
      <w:r>
        <w:rPr>
          <w:noProof/>
        </w:rPr>
        <w:br/>
        <w:t>DIRECTIVA PARLAMENTULUI EUROPEAN ȘI A CONSILIULUI</w:t>
      </w:r>
      <w:r>
        <w:rPr>
          <w:noProof/>
        </w:rPr>
        <w:br/>
      </w:r>
      <w:r>
        <w:rPr>
          <w:noProof/>
        </w:rPr>
        <w:br/>
        <w:t>de modificare a Directivei 2003/59/CE privind calificarea inițială și formarea periodică a conducătorilor auto ai anumitor vehicule rutiere destinate transportului de mărfuri sau de pasageri, precum și a Directivei 2006/126/CE privind permisele de conducere</w:t>
      </w:r>
    </w:p>
    <w:p w:rsidR="0028078B" w:rsidRDefault="00382B7D">
      <w:pPr>
        <w:rPr>
          <w:noProof/>
        </w:rPr>
      </w:pPr>
      <w:r>
        <w:rPr>
          <w:noProof/>
        </w:rPr>
        <w:t>Anexele I și II se modifică după cum urmează:</w:t>
      </w:r>
    </w:p>
    <w:p w:rsidR="0028078B" w:rsidRDefault="0028078B">
      <w:pPr>
        <w:rPr>
          <w:noProof/>
        </w:rPr>
      </w:pPr>
    </w:p>
    <w:p w:rsidR="0028078B" w:rsidRDefault="00382B7D">
      <w:pPr>
        <w:pStyle w:val="Point0number"/>
        <w:numPr>
          <w:ilvl w:val="0"/>
          <w:numId w:val="11"/>
        </w:numPr>
        <w:rPr>
          <w:noProof/>
        </w:rPr>
      </w:pPr>
      <w:r>
        <w:rPr>
          <w:noProof/>
        </w:rPr>
        <w:t>anexa I se modifică după cum urmează:</w:t>
      </w:r>
    </w:p>
    <w:p w:rsidR="0028078B" w:rsidRDefault="00382B7D">
      <w:pPr>
        <w:pStyle w:val="Point1letter"/>
        <w:rPr>
          <w:noProof/>
        </w:rPr>
      </w:pPr>
      <w:r>
        <w:rPr>
          <w:noProof/>
        </w:rPr>
        <w:t>punctul 1 se modifică după cum urmează:</w:t>
      </w:r>
    </w:p>
    <w:p w:rsidR="0028078B" w:rsidRDefault="00382B7D">
      <w:pPr>
        <w:pStyle w:val="Point2letter"/>
        <w:rPr>
          <w:noProof/>
        </w:rPr>
      </w:pPr>
      <w:r>
        <w:rPr>
          <w:noProof/>
        </w:rPr>
        <w:t>al doilea paragraf se înlocuiește cu următorul text:</w:t>
      </w:r>
    </w:p>
    <w:p w:rsidR="0028078B" w:rsidRDefault="00382B7D">
      <w:pPr>
        <w:pStyle w:val="Text2"/>
        <w:rPr>
          <w:noProof/>
        </w:rPr>
      </w:pPr>
      <w:r>
        <w:rPr>
          <w:noProof/>
        </w:rPr>
        <w:t>„Nivelul minim de calificare trebuie să fie comparabil cel puțin cu nivelul 2 din Cadrul european al calificărilor, astfel cum este prevăzut în anexa II la Recomandarea 2008/C 111/01 a Parlamentului European și a Consiliului(*).</w:t>
      </w:r>
    </w:p>
    <w:p w:rsidR="0028078B" w:rsidRDefault="00382B7D">
      <w:pPr>
        <w:pStyle w:val="Text2"/>
        <w:rPr>
          <w:noProof/>
        </w:rPr>
      </w:pPr>
      <w:r>
        <w:rPr>
          <w:noProof/>
        </w:rPr>
        <w:t>_____</w:t>
      </w:r>
    </w:p>
    <w:p w:rsidR="0028078B" w:rsidRDefault="00382B7D">
      <w:pPr>
        <w:pStyle w:val="Text2"/>
        <w:rPr>
          <w:noProof/>
        </w:rPr>
      </w:pPr>
      <w:r>
        <w:rPr>
          <w:noProof/>
        </w:rPr>
        <w:t>(*) Recomandarea Parlamentului European și a Consiliului din 23 aprilie 2008 privind stabilirea Cadrului european al calificărilor pentru învățarea de-a lungul vieții (JO C 111, 6.5.2008, p. 1).”;</w:t>
      </w:r>
    </w:p>
    <w:p w:rsidR="0028078B" w:rsidRDefault="0028078B">
      <w:pPr>
        <w:rPr>
          <w:noProof/>
        </w:rPr>
      </w:pPr>
    </w:p>
    <w:p w:rsidR="0028078B" w:rsidRDefault="00382B7D">
      <w:pPr>
        <w:pStyle w:val="Point2letter"/>
        <w:rPr>
          <w:noProof/>
        </w:rPr>
      </w:pPr>
      <w:r>
        <w:rPr>
          <w:noProof/>
        </w:rPr>
        <w:t>punctul 1.2 se înlocuiește cu următorul text:</w:t>
      </w:r>
    </w:p>
    <w:p w:rsidR="0028078B" w:rsidRDefault="00382B7D">
      <w:pPr>
        <w:pStyle w:val="Text2"/>
        <w:rPr>
          <w:noProof/>
        </w:rPr>
      </w:pPr>
      <w:r>
        <w:rPr>
          <w:noProof/>
        </w:rPr>
        <w:t>„1.2. Obiectivul: cunoașterea caracteristicilor tehnice și a funcționării dispozitivelor de control al siguranței, în vederea controlării vehiculului, reducerii frecării și împiedicării disfuncționalităților:</w:t>
      </w:r>
    </w:p>
    <w:p w:rsidR="0028078B" w:rsidRDefault="00382B7D">
      <w:pPr>
        <w:pStyle w:val="Text2"/>
        <w:rPr>
          <w:noProof/>
        </w:rPr>
      </w:pPr>
      <w:r>
        <w:rPr>
          <w:noProof/>
        </w:rPr>
        <w:t xml:space="preserve">limitele utilizării frânelor și dispozitivului de încetinire, utilizarea combinată a frânelor și a dispozitivului de încetinire, utilizarea optimă a turației și a raporturilor vitezelor, utilizarea inerției vehiculului, utilizarea modurilor de reducere a vitezei și de frânare la coborârea pantelor, modalitatea de acțiune în cazul unei defecțiuni, utilizarea dispozitivelor electronice și mecanice cum ar fi sistemul de control electronic al stabilității (ESP - </w:t>
      </w:r>
      <w:r>
        <w:rPr>
          <w:i/>
          <w:noProof/>
        </w:rPr>
        <w:t>Electronic Stability Program</w:t>
      </w:r>
      <w:r>
        <w:rPr>
          <w:noProof/>
        </w:rPr>
        <w:t xml:space="preserve">), sistemele avansate de frânare de urgență (AEBS - </w:t>
      </w:r>
      <w:r>
        <w:rPr>
          <w:i/>
          <w:noProof/>
        </w:rPr>
        <w:t>Advanced Emergency Braking Systems</w:t>
      </w:r>
      <w:r>
        <w:rPr>
          <w:noProof/>
        </w:rPr>
        <w:t xml:space="preserve">), sistemul antiblocare (ABS - </w:t>
      </w:r>
      <w:r>
        <w:rPr>
          <w:i/>
          <w:noProof/>
        </w:rPr>
        <w:t>Anti-Lock Braking System</w:t>
      </w:r>
      <w:r>
        <w:rPr>
          <w:noProof/>
        </w:rPr>
        <w:t xml:space="preserve">), sistemele de control al tracțiunii (TCS - </w:t>
      </w:r>
      <w:r>
        <w:rPr>
          <w:i/>
          <w:noProof/>
        </w:rPr>
        <w:t>traction control systems</w:t>
      </w:r>
      <w:r>
        <w:rPr>
          <w:noProof/>
        </w:rPr>
        <w:t xml:space="preserve">) și sistemele de monitorizare montate pe vehicul (IVMS - </w:t>
      </w:r>
      <w:r>
        <w:rPr>
          <w:i/>
          <w:noProof/>
        </w:rPr>
        <w:t>In Vehicle Monitoring System</w:t>
      </w:r>
      <w:r>
        <w:rPr>
          <w:noProof/>
        </w:rPr>
        <w:t>), precum și a altor dispozitive, autorizate pentru utilizare, de asistență a conducătorului auto sau de automatizare.”;</w:t>
      </w:r>
    </w:p>
    <w:p w:rsidR="0028078B" w:rsidRDefault="0028078B">
      <w:pPr>
        <w:rPr>
          <w:noProof/>
        </w:rPr>
      </w:pPr>
    </w:p>
    <w:p w:rsidR="0028078B" w:rsidRDefault="00382B7D">
      <w:pPr>
        <w:pStyle w:val="Point2letter"/>
        <w:rPr>
          <w:noProof/>
        </w:rPr>
      </w:pPr>
      <w:r>
        <w:rPr>
          <w:noProof/>
        </w:rPr>
        <w:t xml:space="preserve">la punctul 1.3, al doilea paragraf se înlocuiește cu următorul text: </w:t>
      </w:r>
    </w:p>
    <w:p w:rsidR="0028078B" w:rsidRDefault="00382B7D">
      <w:pPr>
        <w:pStyle w:val="Text2"/>
        <w:rPr>
          <w:noProof/>
        </w:rPr>
      </w:pPr>
      <w:r>
        <w:rPr>
          <w:noProof/>
        </w:rPr>
        <w:t>„optimizarea consumului de carburant prin aplicarea know-how-ului în ceea ce privește punctele 1.1 și 1.2, importanța anticipării fluxului de trafic, a distanței corespunzătoare, a utilizării impulsului vehiculelor, a vitezei constante, a unui stilul de conducere lină și a presiunii corespunzătoare în pneuri.”;</w:t>
      </w:r>
    </w:p>
    <w:p w:rsidR="0028078B" w:rsidRDefault="0028078B">
      <w:pPr>
        <w:rPr>
          <w:noProof/>
        </w:rPr>
      </w:pPr>
    </w:p>
    <w:p w:rsidR="0028078B" w:rsidRDefault="00382B7D">
      <w:pPr>
        <w:pStyle w:val="Point2letter"/>
        <w:rPr>
          <w:noProof/>
        </w:rPr>
      </w:pPr>
      <w:r>
        <w:rPr>
          <w:noProof/>
        </w:rPr>
        <w:t xml:space="preserve">următorul punct 1.3a se introduce înainte de titlul „Permisele de conducere din categoriile C, C+E, C1, C1+E”: </w:t>
      </w:r>
    </w:p>
    <w:p w:rsidR="0028078B" w:rsidRDefault="00382B7D">
      <w:pPr>
        <w:pStyle w:val="Text2"/>
        <w:rPr>
          <w:noProof/>
        </w:rPr>
      </w:pPr>
      <w:r>
        <w:rPr>
          <w:noProof/>
        </w:rPr>
        <w:t>„1.3a. Obiectivul: capacitatea de anticipare, de evaluare și adaptare la riscurile din trafic:</w:t>
      </w:r>
    </w:p>
    <w:p w:rsidR="0028078B" w:rsidRDefault="00382B7D">
      <w:pPr>
        <w:pStyle w:val="Text2"/>
        <w:rPr>
          <w:noProof/>
        </w:rPr>
      </w:pPr>
      <w:r>
        <w:rPr>
          <w:noProof/>
        </w:rPr>
        <w:t xml:space="preserve">conștientizarea diferitelor condiții rutiere, de trafic și meteorologice și adaptarea la acestea, anticiparea evenimentelor viitoare, adaptarea la riscurile de trafic, recunoașterea și adaptarea la situațiile periculoase, legate în special de dimensiunile și de greutatea vehiculelor, precum și de utilizatorii vulnerabili ai drumurilor, cum ar fi pietonii, bicicliștii și conducătorii de vehicule motorizate cu două roți; </w:t>
      </w:r>
    </w:p>
    <w:p w:rsidR="0028078B" w:rsidRDefault="00382B7D">
      <w:pPr>
        <w:pStyle w:val="Text2"/>
        <w:rPr>
          <w:noProof/>
        </w:rPr>
      </w:pPr>
      <w:r>
        <w:rPr>
          <w:noProof/>
        </w:rPr>
        <w:t>identificarea posibilelor situații periculoase și interpretarea corespunzătoare a modului în care aceste situații care pot fi periculoase se pot transforma în situații în care accidentele rutiere nu mai pot fi evitate, precum și selectarea și punerea în aplicare a unor măsuri de sporire a marjelor de siguranță în asemenea măsură încât un accident să poată fi încă evitat în cazul în care intervin posibile pericole.”;</w:t>
      </w:r>
    </w:p>
    <w:p w:rsidR="0028078B" w:rsidRDefault="0028078B">
      <w:pPr>
        <w:rPr>
          <w:noProof/>
        </w:rPr>
      </w:pPr>
    </w:p>
    <w:p w:rsidR="0028078B" w:rsidRDefault="00382B7D">
      <w:pPr>
        <w:pStyle w:val="Point2letter"/>
        <w:rPr>
          <w:noProof/>
        </w:rPr>
      </w:pPr>
      <w:r>
        <w:rPr>
          <w:noProof/>
        </w:rPr>
        <w:t>punctul 1.4 se înlocuiește cu următorul text:</w:t>
      </w:r>
    </w:p>
    <w:p w:rsidR="0028078B" w:rsidRDefault="00382B7D">
      <w:pPr>
        <w:pStyle w:val="Text2"/>
        <w:rPr>
          <w:noProof/>
        </w:rPr>
      </w:pPr>
      <w:r>
        <w:rPr>
          <w:noProof/>
        </w:rPr>
        <w:t>„1.4. Obiectivul: capacitatea de încărcare a vehiculului, acordându-se grija cuvenită reglementărilor de siguranță și utilizării adecvate a vehiculului:</w:t>
      </w:r>
    </w:p>
    <w:p w:rsidR="0028078B" w:rsidRDefault="00382B7D">
      <w:pPr>
        <w:pStyle w:val="Text2"/>
        <w:rPr>
          <w:noProof/>
        </w:rPr>
      </w:pPr>
      <w:r>
        <w:rPr>
          <w:noProof/>
        </w:rPr>
        <w:t>forțele care afectează vehiculele aflate în mișcare, utilizarea rapoartelor de angrenare ale cutiei de viteze în funcție de sarcina vehiculului și profilul drumului, utilizarea sistemelor de transmisie automată, calcularea încărcăturii utile a vehiculului sau a ansamblului, calcularea volumului total, distribuția sarcinii, consecințele supraîncărcării osiei, stabilitatea vehiculului și centrul de greutate, tipurile de ambalaj și paleți;</w:t>
      </w:r>
    </w:p>
    <w:p w:rsidR="0028078B" w:rsidRDefault="00382B7D">
      <w:pPr>
        <w:pStyle w:val="Text2"/>
        <w:rPr>
          <w:noProof/>
        </w:rPr>
      </w:pPr>
      <w:r>
        <w:rPr>
          <w:noProof/>
        </w:rPr>
        <w:t>principalele categorii de mărfuri care necesită asigurare, tehnici de fixare și asigurare, utilizarea chingilor de asigurare, utilizarea echipamentului de manipulare, punerea și scoaterea prelatelor.”;</w:t>
      </w:r>
    </w:p>
    <w:p w:rsidR="0028078B" w:rsidRDefault="0028078B">
      <w:pPr>
        <w:rPr>
          <w:noProof/>
        </w:rPr>
      </w:pPr>
    </w:p>
    <w:p w:rsidR="0028078B" w:rsidRDefault="00382B7D">
      <w:pPr>
        <w:pStyle w:val="Point2letter"/>
        <w:rPr>
          <w:noProof/>
        </w:rPr>
      </w:pPr>
      <w:r>
        <w:rPr>
          <w:noProof/>
        </w:rPr>
        <w:t>punctul 1.6 se înlocuiește cu următorul text:</w:t>
      </w:r>
    </w:p>
    <w:p w:rsidR="0028078B" w:rsidRDefault="00382B7D">
      <w:pPr>
        <w:pStyle w:val="Text2"/>
        <w:rPr>
          <w:noProof/>
        </w:rPr>
      </w:pPr>
      <w:r>
        <w:rPr>
          <w:noProof/>
        </w:rPr>
        <w:t>„1.6. Obiectivul: capacitatea de încărcare a vehiculului, acordându-se grija cuvenită reglementărilor de siguranță și utilizării adecvate a vehiculului:</w:t>
      </w:r>
    </w:p>
    <w:p w:rsidR="0028078B" w:rsidRDefault="00382B7D">
      <w:pPr>
        <w:pStyle w:val="Text2"/>
        <w:rPr>
          <w:noProof/>
        </w:rPr>
      </w:pPr>
      <w:r>
        <w:rPr>
          <w:noProof/>
        </w:rPr>
        <w:t>forțele care afectează vehiculul în mișcare, utilizarea rapoartelor cutiei de viteze în conformitate cu sarcina vehiculului și profilul drumului, utilizarea sistemelor de transmisie automată, calcularea încărcăturii utile a vehiculului sau a ansamblului, distribuția sarcinii, consecințele supraîncărcării osiei, stabilitatea vehiculului și centrul de greutate.”;</w:t>
      </w:r>
    </w:p>
    <w:p w:rsidR="0028078B" w:rsidRDefault="0028078B">
      <w:pPr>
        <w:rPr>
          <w:noProof/>
        </w:rPr>
      </w:pPr>
    </w:p>
    <w:p w:rsidR="0028078B" w:rsidRDefault="00382B7D">
      <w:pPr>
        <w:pStyle w:val="Point2letter"/>
        <w:rPr>
          <w:noProof/>
        </w:rPr>
      </w:pPr>
      <w:r>
        <w:rPr>
          <w:noProof/>
        </w:rPr>
        <w:t>la punctul 2.1, paragraful al doilea se înlocuiește cu următorul text:</w:t>
      </w:r>
    </w:p>
    <w:p w:rsidR="0028078B" w:rsidRDefault="00382B7D">
      <w:pPr>
        <w:pStyle w:val="Text2"/>
        <w:rPr>
          <w:noProof/>
        </w:rPr>
      </w:pPr>
      <w:r>
        <w:rPr>
          <w:noProof/>
        </w:rPr>
        <w:t>„perioadele maxime de lucru specifice industriei transporturilor; principiile, aplicarea și efectele Regulamentelor (CE) nr. 561/2006(*) și (UE) nr. 165/2014(**) ale Parlamentului European și ale Consiliului; sancțiuni pentru neutilizarea, utilizarea inadecvată și falsificarea tahografului; cunoașterea mediului social al transportului rutier: drepturile și îndatoririle conducătorilor auto privind calificarea inițială și formarea periodică.</w:t>
      </w:r>
    </w:p>
    <w:p w:rsidR="0028078B" w:rsidRDefault="00382B7D">
      <w:pPr>
        <w:pStyle w:val="Text2"/>
        <w:rPr>
          <w:noProof/>
        </w:rPr>
      </w:pPr>
      <w:r>
        <w:rPr>
          <w:noProof/>
        </w:rPr>
        <w:t>________</w:t>
      </w:r>
    </w:p>
    <w:p w:rsidR="0028078B" w:rsidRDefault="00382B7D">
      <w:pPr>
        <w:pStyle w:val="Text2"/>
        <w:rPr>
          <w:noProof/>
        </w:rPr>
      </w:pPr>
      <w:r>
        <w:rPr>
          <w:noProof/>
        </w:rPr>
        <w:t>(*) Regulamentul (CE) nr. 561/2006 al Parlamentului European și al Consiliului din 15 martie 2006 privind armonizarea anumitor dispoziții ale legislației sociale în domeniul transporturilor rutiere, de modificare a Regulamentelor (CEE) nr. 3821/85 și (CE) nr. 2135/98 ale Consiliului și de abrogare a Regulamentului (CEE) nr. 3820/85 al Consiliului (JO L 102, 11.4.2006, p. 1).</w:t>
      </w:r>
    </w:p>
    <w:p w:rsidR="0028078B" w:rsidRDefault="00382B7D">
      <w:pPr>
        <w:pStyle w:val="Text2"/>
        <w:rPr>
          <w:noProof/>
        </w:rPr>
      </w:pPr>
      <w:r>
        <w:rPr>
          <w:noProof/>
        </w:rPr>
        <w:t>(**) Regulamentul (UE) nr. 165/2014 al Parlamentului European și al Consiliului din 4 februarie 2014 privind tahografele în transportul rutier, de abrogare a Regulamentului (CEE) nr. 3821/85 al Consiliului privind aparatura de înregistrare în transportul rutier și de modificare a Regulamentului (CE) nr. 561/2006 al Parlamentului European și al Consiliului privind armonizarea anumitor dispoziții ale legislației sociale în domeniul transporturilor rutiere (JO L 60, 28.2.2014, p. 1).”;</w:t>
      </w:r>
    </w:p>
    <w:p w:rsidR="0028078B" w:rsidRDefault="0028078B">
      <w:pPr>
        <w:rPr>
          <w:noProof/>
        </w:rPr>
      </w:pPr>
    </w:p>
    <w:p w:rsidR="0028078B" w:rsidRDefault="00382B7D">
      <w:pPr>
        <w:pStyle w:val="Point2letter"/>
        <w:rPr>
          <w:noProof/>
        </w:rPr>
      </w:pPr>
      <w:r>
        <w:rPr>
          <w:noProof/>
        </w:rPr>
        <w:t>la punctul 3.7, paragraful al doilea se înlocuiește cu următorul text:</w:t>
      </w:r>
    </w:p>
    <w:p w:rsidR="0028078B" w:rsidRDefault="00382B7D">
      <w:pPr>
        <w:pStyle w:val="Text2"/>
        <w:rPr>
          <w:noProof/>
        </w:rPr>
      </w:pPr>
      <w:r>
        <w:rPr>
          <w:noProof/>
        </w:rPr>
        <w:t>„relația dintre transportul rutier și alte tipuri de transport (concurența, expeditorii de mărfuri), diferite activități ale transportului rutier (transportul în numele unor terți sau contra cost, transportul în nume propriu, activități auxiliare de transport), organizarea principalelor tipuri de companii de transport și a activităților auxiliare de transport, diferitele specializări de transport (autocisternă, temperatură controlată, mărfuri periculoase, transportul animalelor etc.), modificări apărute în această ramură economică (diversificarea serviciilor furnizate, calea ferată, subcontractarea etc.).”;</w:t>
      </w:r>
    </w:p>
    <w:p w:rsidR="0028078B" w:rsidRDefault="0028078B">
      <w:pPr>
        <w:rPr>
          <w:noProof/>
        </w:rPr>
      </w:pPr>
    </w:p>
    <w:p w:rsidR="0028078B" w:rsidRDefault="00382B7D">
      <w:pPr>
        <w:pStyle w:val="Point2letter"/>
        <w:rPr>
          <w:noProof/>
        </w:rPr>
      </w:pPr>
      <w:r>
        <w:rPr>
          <w:noProof/>
        </w:rPr>
        <w:t>la punctul 3.8, paragraful al doilea se înlocuiește cu următorul text:</w:t>
      </w:r>
    </w:p>
    <w:p w:rsidR="0028078B" w:rsidRDefault="00382B7D">
      <w:pPr>
        <w:pStyle w:val="Text2"/>
        <w:rPr>
          <w:noProof/>
        </w:rPr>
      </w:pPr>
      <w:r>
        <w:rPr>
          <w:noProof/>
        </w:rPr>
        <w:t>„relația dintre transportul rutier de călători și alte moduri de transport de călători (pe calea ferată, cu autovehicule personale), diferitele activități implicate de către transportul rutier de călători, sensibilizarea cu privire la persoanele cu handicap, trecerea frontierelor (transportul internațional), organizarea principalelor tipuri de companii pentru transportul rutier de călători.”;</w:t>
      </w:r>
    </w:p>
    <w:p w:rsidR="0028078B" w:rsidRDefault="0028078B">
      <w:pPr>
        <w:rPr>
          <w:noProof/>
        </w:rPr>
      </w:pPr>
    </w:p>
    <w:p w:rsidR="0028078B" w:rsidRDefault="00382B7D">
      <w:pPr>
        <w:pStyle w:val="Point1letter"/>
        <w:rPr>
          <w:noProof/>
        </w:rPr>
      </w:pPr>
      <w:r>
        <w:rPr>
          <w:noProof/>
        </w:rPr>
        <w:t>Punctul 2 se modifică după cum urmează:</w:t>
      </w:r>
    </w:p>
    <w:p w:rsidR="0028078B" w:rsidRDefault="00382B7D">
      <w:pPr>
        <w:pStyle w:val="Point2letter"/>
        <w:rPr>
          <w:noProof/>
        </w:rPr>
      </w:pPr>
      <w:r>
        <w:rPr>
          <w:noProof/>
        </w:rPr>
        <w:t>punctul 2.1 se înlocuiește cu următorul text:</w:t>
      </w:r>
    </w:p>
    <w:p w:rsidR="0028078B" w:rsidRDefault="00382B7D">
      <w:pPr>
        <w:pStyle w:val="Text2"/>
        <w:rPr>
          <w:noProof/>
        </w:rPr>
      </w:pPr>
      <w:r>
        <w:rPr>
          <w:noProof/>
        </w:rPr>
        <w:t xml:space="preserve">„2.1. </w:t>
      </w:r>
      <w:r>
        <w:rPr>
          <w:i/>
          <w:noProof/>
        </w:rPr>
        <w:t>Opțiunea de combinare a participării la curs cu efectuarea unui test</w:t>
      </w:r>
    </w:p>
    <w:p w:rsidR="0028078B" w:rsidRDefault="00382B7D">
      <w:pPr>
        <w:pStyle w:val="Text2"/>
        <w:rPr>
          <w:noProof/>
        </w:rPr>
      </w:pPr>
      <w:r>
        <w:rPr>
          <w:noProof/>
        </w:rPr>
        <w:t>Calificarea inițială trebuie să includă predarea tuturor subiectelor din lista inclusă la punctul 1. Durata acestei calificări inițiale trebuie să fie de 280 de ore.</w:t>
      </w:r>
    </w:p>
    <w:p w:rsidR="0028078B" w:rsidRDefault="00382B7D">
      <w:pPr>
        <w:pStyle w:val="Text2"/>
        <w:rPr>
          <w:noProof/>
        </w:rPr>
      </w:pPr>
      <w:r>
        <w:rPr>
          <w:noProof/>
        </w:rPr>
        <w:t>Fiecare conducător auto cursant trebuie să conducă individual cel puțin 20 de ore un vehicul din categoria respectivă care îndeplinește cel puțin cerințele pentru vehiculele destinate testării, așa cum sunt definite acestea în Directiva 2006/126/CE.</w:t>
      </w:r>
    </w:p>
    <w:p w:rsidR="0028078B" w:rsidRDefault="00382B7D">
      <w:pPr>
        <w:pStyle w:val="Text2"/>
        <w:rPr>
          <w:noProof/>
        </w:rPr>
      </w:pPr>
      <w:r>
        <w:rPr>
          <w:noProof/>
        </w:rPr>
        <w:t>În timpul conducerii individuale, conducătorul auto cursant trebuie să fie însoțit de un instructor angajat de un centru de formare autorizat. Fiecare conducător auto poate să conducă maximum opt ore, din cele 20 de ore de conducere individuală, pe teren special sau pe un simulator de ultimă generație, astfel încât să se testeze formarea în domeniul conducerii raționale pe baza reglementărilor de siguranță, în special cu privire la manevrarea vehiculului în diferite condiții de drum și la modul în care acestea se schimbă în funcție de diferitele condiții atmosferice, de perioada de zi sau de noapte, precum și capacitatea de optimizare a consumului de carburant.</w:t>
      </w:r>
    </w:p>
    <w:p w:rsidR="0028078B" w:rsidRDefault="00382B7D">
      <w:pPr>
        <w:pStyle w:val="Text2"/>
        <w:rPr>
          <w:noProof/>
        </w:rPr>
      </w:pPr>
      <w:r>
        <w:rPr>
          <w:noProof/>
        </w:rPr>
        <w:t>Statele membre pot permite ca formarea să fie parțial realizată prin intermediul instrumentelor tehnologiei informației și comunicațiilor, precum e-learning, asigurând totodată buna calitate a formării, și pot lua în considerare o formare specifică necesară în temeiul altor acte legislative ale Uniunii drept parte a formării. O astfel de formare include, dar nu se limitează la, formarea profesională necesară în temeiul Directivei 2008/68/CE a Parlamentului European și a Consiliului(*) privind transportul interior de mărfuri periculoase, formarea care vizează sensibilizarea cu privire la nevoile persoanelor cu handicap prevăzută de Regulamentul (UE) nr. 181/2011 al Parlamentului European și al Consiliului(**) și formarea privind transportul animalelor prevăzută de Regulamentul (CE) nr. 1/2005 al Consiliului(***).</w:t>
      </w:r>
    </w:p>
    <w:p w:rsidR="0028078B" w:rsidRDefault="00382B7D">
      <w:pPr>
        <w:pStyle w:val="Text2"/>
        <w:rPr>
          <w:noProof/>
        </w:rPr>
      </w:pPr>
      <w:r>
        <w:rPr>
          <w:noProof/>
        </w:rPr>
        <w:t>Pentru conducătorii auto menționați la articolul 5 alineatul (5), durata calificării inițiale trebuie să fie de 70 de ore, inclusiv cinci ore de conducere individuală.</w:t>
      </w:r>
    </w:p>
    <w:p w:rsidR="0028078B" w:rsidRDefault="00382B7D">
      <w:pPr>
        <w:pStyle w:val="Text2"/>
        <w:rPr>
          <w:noProof/>
        </w:rPr>
      </w:pPr>
      <w:r>
        <w:rPr>
          <w:noProof/>
        </w:rPr>
        <w:t>La sfârșitul acestei perioade de formare, autoritățile competente din statele membre sau entitatea desemnată de acestea supun conducătorul auto unui test scris sau oral. Testul trebuie să includă cel puțin o întrebare referitoare la fiecare dintre obiectivele din lista de subiecte menționată la punctul 1.</w:t>
      </w:r>
    </w:p>
    <w:p w:rsidR="0028078B" w:rsidRDefault="00382B7D">
      <w:pPr>
        <w:pStyle w:val="Text2"/>
        <w:rPr>
          <w:noProof/>
        </w:rPr>
      </w:pPr>
      <w:r>
        <w:rPr>
          <w:noProof/>
        </w:rPr>
        <w:t>_________</w:t>
      </w:r>
    </w:p>
    <w:p w:rsidR="0028078B" w:rsidRDefault="00382B7D">
      <w:pPr>
        <w:pStyle w:val="Text2"/>
        <w:rPr>
          <w:noProof/>
        </w:rPr>
      </w:pPr>
      <w:r>
        <w:rPr>
          <w:noProof/>
        </w:rPr>
        <w:t>(*) Directiva 2008/68/CE a Parlamentului European și a Consiliului din 24 septembrie 2008 privind transportul interior de mărfuri periculoase (JO L 260, 30.9.2008, p. 13).</w:t>
      </w:r>
    </w:p>
    <w:p w:rsidR="0028078B" w:rsidRDefault="00382B7D">
      <w:pPr>
        <w:pStyle w:val="Text2"/>
        <w:rPr>
          <w:noProof/>
        </w:rPr>
      </w:pPr>
      <w:r>
        <w:rPr>
          <w:noProof/>
        </w:rPr>
        <w:t>(**) Regulamentul (UE) nr. 181/2011 al Parlamentului European și al Consiliului din 16 februarie 2011 privind drepturile pasagerilor care călătoresc cu autobuzul și autocarul și de modificare a Regulamentului (CE) nr. 2006/2004 (JO L 55, 28.2.2011, p. 1).</w:t>
      </w:r>
    </w:p>
    <w:p w:rsidR="0028078B" w:rsidRDefault="00382B7D">
      <w:pPr>
        <w:pStyle w:val="Text2"/>
        <w:rPr>
          <w:noProof/>
        </w:rPr>
      </w:pPr>
      <w:r>
        <w:rPr>
          <w:noProof/>
        </w:rPr>
        <w:t>(***) Regulamentul (CE) nr. 1/2005 al Consiliului din 22 decembrie 2004 privind protecția animalelor în timpul transportului și al operațiunilor conexe și de modificare a Directivelor 64/432/CEE și 93/119/CE și a Regulamentului (CE) nr. 1255/97 (JO L 3, 5.1.2005, p. 1).”;</w:t>
      </w:r>
    </w:p>
    <w:p w:rsidR="0028078B" w:rsidRDefault="0028078B">
      <w:pPr>
        <w:rPr>
          <w:noProof/>
        </w:rPr>
      </w:pPr>
    </w:p>
    <w:p w:rsidR="0028078B" w:rsidRDefault="00382B7D">
      <w:pPr>
        <w:pStyle w:val="Point2letter"/>
        <w:rPr>
          <w:noProof/>
        </w:rPr>
      </w:pPr>
      <w:r>
        <w:rPr>
          <w:noProof/>
        </w:rPr>
        <w:t>la punctul 2.2 litera (b), paragraful al doilea se înlocuiește cu următorul text:</w:t>
      </w:r>
    </w:p>
    <w:p w:rsidR="0028078B" w:rsidRDefault="00382B7D">
      <w:pPr>
        <w:pStyle w:val="Text2"/>
        <w:rPr>
          <w:noProof/>
        </w:rPr>
      </w:pPr>
      <w:r>
        <w:rPr>
          <w:noProof/>
        </w:rPr>
        <w:t>„Vehiculul utilizat pentru testul practic trebuie să îndeplinească cel puțin condițiile pentru vehiculele destinate testării, așa cum sunt definite acestea în Directiva 2006/126/CE.”;</w:t>
      </w:r>
    </w:p>
    <w:p w:rsidR="0028078B" w:rsidRDefault="0028078B">
      <w:pPr>
        <w:rPr>
          <w:noProof/>
        </w:rPr>
      </w:pPr>
    </w:p>
    <w:p w:rsidR="0028078B" w:rsidRDefault="00382B7D">
      <w:pPr>
        <w:pStyle w:val="Point1letter"/>
        <w:rPr>
          <w:noProof/>
        </w:rPr>
      </w:pPr>
      <w:r>
        <w:rPr>
          <w:noProof/>
        </w:rPr>
        <w:t>Punctele 3 și 4 se înlocuiesc cu următorul text:</w:t>
      </w:r>
    </w:p>
    <w:p w:rsidR="0028078B" w:rsidRDefault="00382B7D">
      <w:pPr>
        <w:pStyle w:val="Text1"/>
        <w:rPr>
          <w:noProof/>
        </w:rPr>
      </w:pPr>
      <w:r>
        <w:rPr>
          <w:noProof/>
        </w:rPr>
        <w:t>„</w:t>
      </w:r>
      <w:r>
        <w:rPr>
          <w:b/>
          <w:noProof/>
        </w:rPr>
        <w:t>Punctul 3: Calificarea inițială accelerată menționată la articolul 3 alineatul (2)</w:t>
      </w:r>
    </w:p>
    <w:p w:rsidR="0028078B" w:rsidRDefault="00382B7D">
      <w:pPr>
        <w:pStyle w:val="Text1"/>
        <w:rPr>
          <w:noProof/>
        </w:rPr>
      </w:pPr>
      <w:r>
        <w:rPr>
          <w:noProof/>
        </w:rPr>
        <w:t>Calificarea inițială accelerată trebuie să includă predarea tuturor subiectelor incluse în lista de la punctul 1. Durata sa trebuie să fie de 140 de ore.</w:t>
      </w:r>
    </w:p>
    <w:p w:rsidR="0028078B" w:rsidRDefault="00382B7D">
      <w:pPr>
        <w:pStyle w:val="Text1"/>
        <w:rPr>
          <w:noProof/>
        </w:rPr>
      </w:pPr>
      <w:r>
        <w:rPr>
          <w:noProof/>
        </w:rPr>
        <w:t>Fiecare cursant trebuie să conducă individual cel puțin 10 de ore un vehicul din categoria respectivă care îndeplinește cel puțin cerințele pentru vehiculele destinate testării, așa cum sunt definite acestea în Directiva 2006/126/CE.</w:t>
      </w:r>
    </w:p>
    <w:p w:rsidR="0028078B" w:rsidRDefault="00382B7D">
      <w:pPr>
        <w:pStyle w:val="Text1"/>
        <w:rPr>
          <w:noProof/>
        </w:rPr>
      </w:pPr>
      <w:r>
        <w:rPr>
          <w:noProof/>
        </w:rPr>
        <w:t>În timpul conducerii individuale, conducătorul auto cursant trebuie să fie însoțit de un instructor angajat de un centru de formare autorizat. Fiecare conducător auto poate să conducă maximum patru ore, din cele 10 ore de conducere individuală, pe teren special sau pe un simulator de ultimă generație, astfel încât să se testeze formarea în domeniul conducerii raționale pe baza reglementărilor de siguranță, în special cu privire la manevrarea vehiculului în diferite condiții de drum și la modul în care acestea se schimbă în funcție de diferitele condiții atmosferice, de perioada de zi sau de noapte, precum și capacitatea de optimizare a consumului de carburant.</w:t>
      </w:r>
    </w:p>
    <w:p w:rsidR="0028078B" w:rsidRDefault="00382B7D">
      <w:pPr>
        <w:pStyle w:val="Text1"/>
        <w:rPr>
          <w:noProof/>
        </w:rPr>
      </w:pPr>
      <w:r>
        <w:rPr>
          <w:noProof/>
        </w:rPr>
        <w:t>Dispozițiile de la punctul 2.1 al patrulea paragraf se aplică, de asemenea, calificării inițiale accelerate.</w:t>
      </w:r>
    </w:p>
    <w:p w:rsidR="0028078B" w:rsidRDefault="00382B7D">
      <w:pPr>
        <w:pStyle w:val="Text1"/>
        <w:rPr>
          <w:noProof/>
        </w:rPr>
      </w:pPr>
      <w:r>
        <w:rPr>
          <w:noProof/>
        </w:rPr>
        <w:t>Pentru conducătorii auto menționați la articolul 5 alineatul (5), durata calificării inițiale accelerate trebuie să fie de 35 de ore, inclusiv două ore și jumătate de conducere individuală.</w:t>
      </w:r>
    </w:p>
    <w:p w:rsidR="0028078B" w:rsidRDefault="00382B7D">
      <w:pPr>
        <w:pStyle w:val="Text1"/>
        <w:rPr>
          <w:noProof/>
        </w:rPr>
      </w:pPr>
      <w:r>
        <w:rPr>
          <w:noProof/>
        </w:rPr>
        <w:t>La sfârșitul acestei perioade de formare, autoritățile competente din statele membre sau entitatea desemnată de acestea supun conducătorul auto unui test scris sau oral. Testul trebuie să includă cel puțin o întrebare referitoare la fiecare dintre obiectivele din lista de subiecte menționată la punctul 1.</w:t>
      </w:r>
    </w:p>
    <w:p w:rsidR="0028078B" w:rsidRDefault="0028078B">
      <w:pPr>
        <w:pStyle w:val="Text1"/>
        <w:rPr>
          <w:noProof/>
        </w:rPr>
      </w:pPr>
    </w:p>
    <w:p w:rsidR="0028078B" w:rsidRDefault="00382B7D">
      <w:pPr>
        <w:pStyle w:val="Text1"/>
        <w:rPr>
          <w:noProof/>
        </w:rPr>
      </w:pPr>
      <w:r>
        <w:rPr>
          <w:b/>
          <w:noProof/>
        </w:rPr>
        <w:t>Punctul 4: Formarea periodică obligatorie prevăzută la articolul 3 alineatul (1) litera (b)</w:t>
      </w:r>
    </w:p>
    <w:p w:rsidR="0028078B" w:rsidRDefault="00382B7D">
      <w:pPr>
        <w:pStyle w:val="Text1"/>
        <w:rPr>
          <w:noProof/>
        </w:rPr>
      </w:pPr>
      <w:r>
        <w:rPr>
          <w:noProof/>
        </w:rPr>
        <w:t>Cursurile de formare periodică obligatorie trebuie organizate de către un centru de formare autorizat. Durata lor trebuie să fie de 35 de ore din cinci în cinci ani, defalcate în perioade de cel puțin șapte ore. Aceste formări periodice pot fi realizate, parțial, pe simulatoare de ultimă generație și prin utilizarea instrumentelor tehnologiei informației și comunicațiilor, precum e-learning, asigurând, în același timp, calitatea formării. Cel puțin una dintre perioadele de șapte ore trebuie să includă un subiect privind siguranța rutieră. Conținutul formării profesionale trebuie să țină cont de nevoile de formare specifice pentru operațiunile de transport efectuate de conducătorul auto, precum și de evoluțiile juridice și tehnologice relevante. Perioadele de șapte ore trebuie să acopere diferite subiecte.</w:t>
      </w:r>
    </w:p>
    <w:p w:rsidR="0028078B" w:rsidRDefault="00382B7D">
      <w:pPr>
        <w:pStyle w:val="Text1"/>
        <w:rPr>
          <w:noProof/>
        </w:rPr>
      </w:pPr>
      <w:r>
        <w:rPr>
          <w:noProof/>
        </w:rPr>
        <w:t>Formarea profesională specifică încheiată, astfel cum se prevede în alte acte legislative ale Uniunii, poate fi luată în considerare drept una dintre perioadele de șapte ore. O astfel de formare include, dar nu se limitează la, formarea profesională necesară în temeiul Directivei 2008/68/CE privind transportul interior de mărfuri periculoase, formarea privind transportul animalelor prevăzută de Regulamentul (CE) nr. 1/2005 al Consiliului și, pentru transportul de pasageri, formarea care vizează sensibilizarea cu privire la nevoile persoanelor cu handicap prevăzută de Regulamentul (UE) nr. 181/2011.”;</w:t>
      </w:r>
    </w:p>
    <w:p w:rsidR="0028078B" w:rsidRDefault="0028078B">
      <w:pPr>
        <w:rPr>
          <w:noProof/>
        </w:rPr>
      </w:pPr>
    </w:p>
    <w:p w:rsidR="0028078B" w:rsidRDefault="00382B7D">
      <w:pPr>
        <w:pStyle w:val="Point0number"/>
        <w:rPr>
          <w:noProof/>
        </w:rPr>
      </w:pPr>
      <w:r>
        <w:rPr>
          <w:noProof/>
        </w:rPr>
        <w:t>Anexa II se modifică după cum urmează:</w:t>
      </w:r>
    </w:p>
    <w:p w:rsidR="0028078B" w:rsidRDefault="0028078B">
      <w:pPr>
        <w:rPr>
          <w:noProof/>
        </w:rPr>
      </w:pPr>
    </w:p>
    <w:p w:rsidR="0028078B" w:rsidRDefault="00382B7D">
      <w:pPr>
        <w:pStyle w:val="Point1letter"/>
        <w:rPr>
          <w:noProof/>
        </w:rPr>
      </w:pPr>
      <w:r>
        <w:rPr>
          <w:noProof/>
        </w:rPr>
        <w:t>titlul se înlocuiește cu următorul text:</w:t>
      </w:r>
    </w:p>
    <w:p w:rsidR="0028078B" w:rsidRDefault="00382B7D">
      <w:pPr>
        <w:pStyle w:val="Text2"/>
        <w:rPr>
          <w:noProof/>
        </w:rPr>
      </w:pPr>
      <w:r>
        <w:rPr>
          <w:noProof/>
        </w:rPr>
        <w:t>„DISPOZIȚII PRIVIND MODELUL UNIUNII EUROPENE PENTRU CARTEA DE CALIFICARE A CONDUCĂTORULUI AUTO”;</w:t>
      </w:r>
    </w:p>
    <w:p w:rsidR="0028078B" w:rsidRDefault="0028078B">
      <w:pPr>
        <w:rPr>
          <w:noProof/>
        </w:rPr>
      </w:pPr>
    </w:p>
    <w:p w:rsidR="0028078B" w:rsidRDefault="00382B7D">
      <w:pPr>
        <w:pStyle w:val="Point1letter"/>
        <w:rPr>
          <w:noProof/>
        </w:rPr>
      </w:pPr>
      <w:r>
        <w:rPr>
          <w:noProof/>
        </w:rPr>
        <w:t>Punctul 2, partea privind fața 1 a cărții de calificare a conducătorului auto se modifică după cum urmează:</w:t>
      </w:r>
    </w:p>
    <w:p w:rsidR="0028078B" w:rsidRDefault="00382B7D">
      <w:pPr>
        <w:pStyle w:val="Point2letter"/>
        <w:rPr>
          <w:noProof/>
        </w:rPr>
      </w:pPr>
      <w:r>
        <w:rPr>
          <w:noProof/>
        </w:rPr>
        <w:t>la litera (d), subpunctul 9 se înlocuiește cu următorul text:</w:t>
      </w:r>
    </w:p>
    <w:p w:rsidR="0028078B" w:rsidRDefault="00382B7D">
      <w:pPr>
        <w:pStyle w:val="Text2"/>
        <w:rPr>
          <w:noProof/>
        </w:rPr>
      </w:pPr>
      <w:r>
        <w:rPr>
          <w:noProof/>
        </w:rPr>
        <w:t>„9. categoriile de vehicule pentru care conducătorul auto îndeplinește criteriile de calificare inițială și formare periodică;”;</w:t>
      </w:r>
    </w:p>
    <w:p w:rsidR="0028078B" w:rsidRDefault="00382B7D">
      <w:pPr>
        <w:pStyle w:val="Point2letter"/>
        <w:rPr>
          <w:noProof/>
        </w:rPr>
      </w:pPr>
      <w:r>
        <w:rPr>
          <w:noProof/>
        </w:rPr>
        <w:t>la litera (e), primul paragraf se înlocuiește cu următorul text:</w:t>
      </w:r>
    </w:p>
    <w:p w:rsidR="0028078B" w:rsidRDefault="00382B7D">
      <w:pPr>
        <w:pStyle w:val="Text2"/>
        <w:rPr>
          <w:noProof/>
        </w:rPr>
      </w:pPr>
      <w:r>
        <w:rPr>
          <w:noProof/>
        </w:rPr>
        <w:t>„titlul «model al Uniunii Europene» în limba sau limbile statului membru care emite cartea și subtitlul «carte de calificare a conducătorului auto» în celelalte limbi oficiale ale Uniunii, tipărit cu albastru, astfel încât să formeze fundalul cărții:”;</w:t>
      </w:r>
    </w:p>
    <w:p w:rsidR="0028078B" w:rsidRDefault="0028078B">
      <w:pPr>
        <w:rPr>
          <w:noProof/>
        </w:rPr>
      </w:pPr>
    </w:p>
    <w:p w:rsidR="0028078B" w:rsidRDefault="00382B7D">
      <w:pPr>
        <w:pStyle w:val="Point1letter"/>
        <w:rPr>
          <w:noProof/>
        </w:rPr>
      </w:pPr>
      <w:r>
        <w:rPr>
          <w:noProof/>
        </w:rPr>
        <w:t>la punctul 2 litera (a), referitor la fața 2 a cărții de calificare a conducătorului auto, subpunctele 9 și 10 se înlocuiesc cu următorul text:</w:t>
      </w:r>
    </w:p>
    <w:p w:rsidR="0028078B" w:rsidRDefault="00382B7D">
      <w:pPr>
        <w:pStyle w:val="Text2"/>
        <w:rPr>
          <w:noProof/>
        </w:rPr>
      </w:pPr>
      <w:r>
        <w:rPr>
          <w:noProof/>
        </w:rPr>
        <w:t>„9. categoriile de vehicule pentru care conducătorul auto îndeplinește criteriile de calificare inițială și formare periodică;</w:t>
      </w:r>
    </w:p>
    <w:p w:rsidR="0028078B" w:rsidRDefault="00382B7D">
      <w:pPr>
        <w:pStyle w:val="Text2"/>
        <w:rPr>
          <w:noProof/>
        </w:rPr>
      </w:pPr>
      <w:r>
        <w:rPr>
          <w:noProof/>
        </w:rPr>
        <w:t>10. codul armonizat al Uniunii Europene nr. 95, prevăzut în anexa I la Directiva 2006/126/CE”.</w:t>
      </w:r>
    </w:p>
    <w:sectPr w:rsidR="0028078B">
      <w:footerReference w:type="default" r:id="rId23"/>
      <w:footerReference w:type="first" r:id="rId24"/>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78B" w:rsidRDefault="00382B7D">
      <w:pPr>
        <w:spacing w:before="0" w:after="0"/>
      </w:pPr>
      <w:r>
        <w:separator/>
      </w:r>
    </w:p>
  </w:endnote>
  <w:endnote w:type="continuationSeparator" w:id="0">
    <w:p w:rsidR="0028078B" w:rsidRDefault="00382B7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9E" w:rsidRPr="007B3D9E" w:rsidRDefault="007B3D9E" w:rsidP="007B3D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7B3D9E" w:rsidRPr="00D94637" w:rsidTr="007B3D9E">
      <w:trPr>
        <w:jc w:val="center"/>
      </w:trPr>
      <w:tc>
        <w:tcPr>
          <w:tcW w:w="5000" w:type="pct"/>
          <w:gridSpan w:val="7"/>
          <w:shd w:val="clear" w:color="auto" w:fill="auto"/>
          <w:tcMar>
            <w:top w:w="57" w:type="dxa"/>
          </w:tcMar>
        </w:tcPr>
        <w:p w:rsidR="007B3D9E" w:rsidRPr="00D94637" w:rsidRDefault="007B3D9E" w:rsidP="00D94637">
          <w:pPr>
            <w:pStyle w:val="FooterText"/>
            <w:pBdr>
              <w:top w:val="single" w:sz="4" w:space="1" w:color="auto"/>
            </w:pBdr>
            <w:spacing w:before="200"/>
            <w:rPr>
              <w:sz w:val="2"/>
              <w:szCs w:val="2"/>
            </w:rPr>
          </w:pPr>
          <w:bookmarkStart w:id="2" w:name="FOOTER_STANDARD"/>
        </w:p>
      </w:tc>
    </w:tr>
    <w:tr w:rsidR="007B3D9E" w:rsidRPr="00B310DC" w:rsidTr="007B3D9E">
      <w:trPr>
        <w:jc w:val="center"/>
      </w:trPr>
      <w:tc>
        <w:tcPr>
          <w:tcW w:w="2500" w:type="pct"/>
          <w:gridSpan w:val="2"/>
          <w:shd w:val="clear" w:color="auto" w:fill="auto"/>
          <w:tcMar>
            <w:top w:w="0" w:type="dxa"/>
          </w:tcMar>
        </w:tcPr>
        <w:p w:rsidR="007B3D9E" w:rsidRPr="00AD7BF2" w:rsidRDefault="007B3D9E" w:rsidP="004F54B2">
          <w:pPr>
            <w:pStyle w:val="FooterText"/>
          </w:pPr>
          <w:r>
            <w:t>5671/17</w:t>
          </w:r>
          <w:r w:rsidRPr="002511D8">
            <w:t xml:space="preserve"> </w:t>
          </w:r>
          <w:r>
            <w:t>ADD 1</w:t>
          </w:r>
        </w:p>
      </w:tc>
      <w:tc>
        <w:tcPr>
          <w:tcW w:w="625" w:type="pct"/>
          <w:shd w:val="clear" w:color="auto" w:fill="auto"/>
          <w:tcMar>
            <w:top w:w="0" w:type="dxa"/>
          </w:tcMar>
        </w:tcPr>
        <w:p w:rsidR="007B3D9E" w:rsidRPr="00AD7BF2" w:rsidRDefault="007B3D9E" w:rsidP="00D94637">
          <w:pPr>
            <w:pStyle w:val="FooterText"/>
            <w:jc w:val="center"/>
          </w:pPr>
        </w:p>
      </w:tc>
      <w:tc>
        <w:tcPr>
          <w:tcW w:w="1287" w:type="pct"/>
          <w:gridSpan w:val="3"/>
          <w:shd w:val="clear" w:color="auto" w:fill="auto"/>
          <w:tcMar>
            <w:top w:w="0" w:type="dxa"/>
          </w:tcMar>
        </w:tcPr>
        <w:p w:rsidR="007B3D9E" w:rsidRPr="002511D8" w:rsidRDefault="007B3D9E" w:rsidP="00D94637">
          <w:pPr>
            <w:pStyle w:val="FooterText"/>
            <w:jc w:val="center"/>
          </w:pPr>
          <w:r>
            <w:t>rr</w:t>
          </w:r>
        </w:p>
      </w:tc>
      <w:tc>
        <w:tcPr>
          <w:tcW w:w="588" w:type="pct"/>
          <w:shd w:val="clear" w:color="auto" w:fill="auto"/>
          <w:tcMar>
            <w:top w:w="0" w:type="dxa"/>
          </w:tcMar>
        </w:tcPr>
        <w:p w:rsidR="007B3D9E" w:rsidRPr="00B310DC" w:rsidRDefault="007B3D9E" w:rsidP="00D94637">
          <w:pPr>
            <w:pStyle w:val="FooterText"/>
            <w:jc w:val="right"/>
          </w:pPr>
          <w:r>
            <w:fldChar w:fldCharType="begin"/>
          </w:r>
          <w:r>
            <w:instrText xml:space="preserve"> PAGE  \* MERGEFORMAT </w:instrText>
          </w:r>
          <w:r>
            <w:fldChar w:fldCharType="separate"/>
          </w:r>
          <w:r>
            <w:rPr>
              <w:noProof/>
            </w:rPr>
            <w:t>0</w:t>
          </w:r>
          <w:r>
            <w:fldChar w:fldCharType="end"/>
          </w:r>
        </w:p>
      </w:tc>
    </w:tr>
    <w:tr w:rsidR="007B3D9E" w:rsidRPr="00D94637" w:rsidTr="007B3D9E">
      <w:trPr>
        <w:jc w:val="center"/>
      </w:trPr>
      <w:tc>
        <w:tcPr>
          <w:tcW w:w="1774" w:type="pct"/>
          <w:shd w:val="clear" w:color="auto" w:fill="auto"/>
        </w:tcPr>
        <w:p w:rsidR="007B3D9E" w:rsidRPr="00AD7BF2" w:rsidRDefault="007B3D9E" w:rsidP="00D94637">
          <w:pPr>
            <w:pStyle w:val="FooterText"/>
            <w:spacing w:before="40"/>
          </w:pPr>
        </w:p>
      </w:tc>
      <w:tc>
        <w:tcPr>
          <w:tcW w:w="1455" w:type="pct"/>
          <w:gridSpan w:val="3"/>
          <w:shd w:val="clear" w:color="auto" w:fill="auto"/>
        </w:tcPr>
        <w:p w:rsidR="007B3D9E" w:rsidRPr="00AD7BF2" w:rsidRDefault="007B3D9E" w:rsidP="00D204D6">
          <w:pPr>
            <w:pStyle w:val="FooterText"/>
            <w:spacing w:before="40"/>
            <w:jc w:val="center"/>
          </w:pPr>
          <w:r>
            <w:t>DGE 2A</w:t>
          </w:r>
        </w:p>
      </w:tc>
      <w:tc>
        <w:tcPr>
          <w:tcW w:w="1147" w:type="pct"/>
          <w:shd w:val="clear" w:color="auto" w:fill="auto"/>
        </w:tcPr>
        <w:p w:rsidR="007B3D9E" w:rsidRPr="00D94637" w:rsidRDefault="007B3D9E" w:rsidP="00D94637">
          <w:pPr>
            <w:pStyle w:val="FooterText"/>
            <w:jc w:val="right"/>
            <w:rPr>
              <w:b/>
              <w:position w:val="-4"/>
              <w:sz w:val="36"/>
            </w:rPr>
          </w:pPr>
        </w:p>
      </w:tc>
      <w:tc>
        <w:tcPr>
          <w:tcW w:w="625" w:type="pct"/>
          <w:gridSpan w:val="2"/>
          <w:shd w:val="clear" w:color="auto" w:fill="auto"/>
        </w:tcPr>
        <w:p w:rsidR="007B3D9E" w:rsidRPr="00D94637" w:rsidRDefault="007B3D9E" w:rsidP="00D94637">
          <w:pPr>
            <w:pStyle w:val="FooterText"/>
            <w:jc w:val="right"/>
            <w:rPr>
              <w:sz w:val="16"/>
            </w:rPr>
          </w:pPr>
          <w:r>
            <w:rPr>
              <w:b/>
              <w:position w:val="-4"/>
              <w:sz w:val="36"/>
            </w:rPr>
            <w:t>RO</w:t>
          </w:r>
        </w:p>
      </w:tc>
    </w:tr>
    <w:bookmarkEnd w:id="2"/>
  </w:tbl>
  <w:p w:rsidR="0028078B" w:rsidRPr="007B3D9E" w:rsidRDefault="0028078B" w:rsidP="007B3D9E">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7B3D9E" w:rsidRPr="00D94637" w:rsidTr="007B3D9E">
      <w:trPr>
        <w:jc w:val="center"/>
      </w:trPr>
      <w:tc>
        <w:tcPr>
          <w:tcW w:w="5000" w:type="pct"/>
          <w:gridSpan w:val="7"/>
          <w:shd w:val="clear" w:color="auto" w:fill="auto"/>
          <w:tcMar>
            <w:top w:w="57" w:type="dxa"/>
          </w:tcMar>
        </w:tcPr>
        <w:p w:rsidR="007B3D9E" w:rsidRPr="00D94637" w:rsidRDefault="007B3D9E" w:rsidP="00D94637">
          <w:pPr>
            <w:pStyle w:val="FooterText"/>
            <w:pBdr>
              <w:top w:val="single" w:sz="4" w:space="1" w:color="auto"/>
            </w:pBdr>
            <w:spacing w:before="200"/>
            <w:rPr>
              <w:sz w:val="2"/>
              <w:szCs w:val="2"/>
            </w:rPr>
          </w:pPr>
        </w:p>
      </w:tc>
    </w:tr>
    <w:tr w:rsidR="007B3D9E" w:rsidRPr="00B310DC" w:rsidTr="007B3D9E">
      <w:trPr>
        <w:jc w:val="center"/>
      </w:trPr>
      <w:tc>
        <w:tcPr>
          <w:tcW w:w="2500" w:type="pct"/>
          <w:gridSpan w:val="2"/>
          <w:shd w:val="clear" w:color="auto" w:fill="auto"/>
          <w:tcMar>
            <w:top w:w="0" w:type="dxa"/>
          </w:tcMar>
        </w:tcPr>
        <w:p w:rsidR="007B3D9E" w:rsidRPr="00AD7BF2" w:rsidRDefault="007B3D9E" w:rsidP="004F54B2">
          <w:pPr>
            <w:pStyle w:val="FooterText"/>
          </w:pPr>
          <w:r>
            <w:t>5671/17</w:t>
          </w:r>
          <w:r w:rsidRPr="002511D8">
            <w:t xml:space="preserve"> </w:t>
          </w:r>
          <w:r>
            <w:t>ADD 1</w:t>
          </w:r>
        </w:p>
      </w:tc>
      <w:tc>
        <w:tcPr>
          <w:tcW w:w="625" w:type="pct"/>
          <w:shd w:val="clear" w:color="auto" w:fill="auto"/>
          <w:tcMar>
            <w:top w:w="0" w:type="dxa"/>
          </w:tcMar>
        </w:tcPr>
        <w:p w:rsidR="007B3D9E" w:rsidRPr="00AD7BF2" w:rsidRDefault="007B3D9E" w:rsidP="00D94637">
          <w:pPr>
            <w:pStyle w:val="FooterText"/>
            <w:jc w:val="center"/>
          </w:pPr>
        </w:p>
      </w:tc>
      <w:tc>
        <w:tcPr>
          <w:tcW w:w="1287" w:type="pct"/>
          <w:gridSpan w:val="3"/>
          <w:shd w:val="clear" w:color="auto" w:fill="auto"/>
          <w:tcMar>
            <w:top w:w="0" w:type="dxa"/>
          </w:tcMar>
        </w:tcPr>
        <w:p w:rsidR="007B3D9E" w:rsidRPr="002511D8" w:rsidRDefault="007B3D9E" w:rsidP="00D94637">
          <w:pPr>
            <w:pStyle w:val="FooterText"/>
            <w:jc w:val="center"/>
          </w:pPr>
          <w:r>
            <w:t>rr</w:t>
          </w:r>
        </w:p>
      </w:tc>
      <w:tc>
        <w:tcPr>
          <w:tcW w:w="588" w:type="pct"/>
          <w:shd w:val="clear" w:color="auto" w:fill="auto"/>
          <w:tcMar>
            <w:top w:w="0" w:type="dxa"/>
          </w:tcMar>
        </w:tcPr>
        <w:p w:rsidR="007B3D9E" w:rsidRPr="00B310DC" w:rsidRDefault="007B3D9E" w:rsidP="00D94637">
          <w:pPr>
            <w:pStyle w:val="FooterText"/>
            <w:jc w:val="right"/>
          </w:pPr>
        </w:p>
      </w:tc>
    </w:tr>
    <w:tr w:rsidR="007B3D9E" w:rsidRPr="00D94637" w:rsidTr="007B3D9E">
      <w:trPr>
        <w:jc w:val="center"/>
      </w:trPr>
      <w:tc>
        <w:tcPr>
          <w:tcW w:w="1774" w:type="pct"/>
          <w:shd w:val="clear" w:color="auto" w:fill="auto"/>
        </w:tcPr>
        <w:p w:rsidR="007B3D9E" w:rsidRPr="00AD7BF2" w:rsidRDefault="007B3D9E" w:rsidP="00D94637">
          <w:pPr>
            <w:pStyle w:val="FooterText"/>
            <w:spacing w:before="40"/>
          </w:pPr>
        </w:p>
      </w:tc>
      <w:tc>
        <w:tcPr>
          <w:tcW w:w="1455" w:type="pct"/>
          <w:gridSpan w:val="3"/>
          <w:shd w:val="clear" w:color="auto" w:fill="auto"/>
        </w:tcPr>
        <w:p w:rsidR="007B3D9E" w:rsidRPr="00AD7BF2" w:rsidRDefault="007B3D9E" w:rsidP="00D204D6">
          <w:pPr>
            <w:pStyle w:val="FooterText"/>
            <w:spacing w:before="40"/>
            <w:jc w:val="center"/>
          </w:pPr>
          <w:r>
            <w:t>DGE 2A</w:t>
          </w:r>
        </w:p>
      </w:tc>
      <w:tc>
        <w:tcPr>
          <w:tcW w:w="1147" w:type="pct"/>
          <w:shd w:val="clear" w:color="auto" w:fill="auto"/>
        </w:tcPr>
        <w:p w:rsidR="007B3D9E" w:rsidRPr="00D94637" w:rsidRDefault="007B3D9E" w:rsidP="00D94637">
          <w:pPr>
            <w:pStyle w:val="FooterText"/>
            <w:jc w:val="right"/>
            <w:rPr>
              <w:b/>
              <w:position w:val="-4"/>
              <w:sz w:val="36"/>
            </w:rPr>
          </w:pPr>
        </w:p>
      </w:tc>
      <w:tc>
        <w:tcPr>
          <w:tcW w:w="625" w:type="pct"/>
          <w:gridSpan w:val="2"/>
          <w:shd w:val="clear" w:color="auto" w:fill="auto"/>
        </w:tcPr>
        <w:p w:rsidR="007B3D9E" w:rsidRPr="00D94637" w:rsidRDefault="007B3D9E" w:rsidP="00D94637">
          <w:pPr>
            <w:pStyle w:val="FooterText"/>
            <w:jc w:val="right"/>
            <w:rPr>
              <w:sz w:val="16"/>
            </w:rPr>
          </w:pPr>
          <w:r>
            <w:rPr>
              <w:b/>
              <w:position w:val="-4"/>
              <w:sz w:val="36"/>
            </w:rPr>
            <w:t>RO</w:t>
          </w:r>
        </w:p>
      </w:tc>
    </w:tr>
  </w:tbl>
  <w:p w:rsidR="0028078B" w:rsidRPr="007B3D9E" w:rsidRDefault="0028078B" w:rsidP="007B3D9E">
    <w:pPr>
      <w:pStyle w:val="FooterCounci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Footer"/>
      <w:rPr>
        <w:rFonts w:ascii="Arial" w:hAnsi="Arial" w:cs="Arial"/>
        <w:b/>
        <w:sz w:val="48"/>
      </w:rPr>
    </w:pPr>
    <w:r>
      <w:rPr>
        <w:rFonts w:ascii="Arial" w:hAnsi="Arial" w:cs="Arial"/>
        <w:b/>
        <w:sz w:val="48"/>
      </w:rPr>
      <w:t>RO</w:t>
    </w:r>
    <w:r>
      <w:rPr>
        <w:rFonts w:ascii="Arial" w:hAnsi="Arial" w:cs="Arial"/>
        <w:b/>
        <w:sz w:val="48"/>
      </w:rPr>
      <w:tab/>
    </w:r>
    <w:r>
      <w:rPr>
        <w:rFonts w:ascii="Arial" w:hAnsi="Arial" w:cs="Arial"/>
        <w:b/>
        <w:sz w:val="48"/>
      </w:rPr>
      <w:tab/>
    </w:r>
    <w:r>
      <w:t xml:space="preserve"> </w:t>
    </w:r>
    <w:r>
      <w:tab/>
    </w:r>
    <w:r>
      <w:rPr>
        <w:rFonts w:ascii="Arial" w:hAnsi="Arial" w:cs="Arial"/>
        <w:b/>
        <w:sz w:val="48"/>
      </w:rPr>
      <w:t>RO</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78B" w:rsidRDefault="00382B7D">
    <w:pPr>
      <w:pStyle w:val="Footer"/>
      <w:rPr>
        <w:rFonts w:ascii="Arial" w:hAnsi="Arial" w:cs="Arial"/>
        <w:b/>
        <w:sz w:val="48"/>
      </w:rPr>
    </w:pPr>
    <w:r>
      <w:rPr>
        <w:rFonts w:ascii="Arial" w:hAnsi="Arial" w:cs="Arial"/>
        <w:b/>
        <w:sz w:val="48"/>
      </w:rPr>
      <w:t>RO</w:t>
    </w:r>
    <w:r>
      <w:rPr>
        <w:rFonts w:ascii="Arial" w:hAnsi="Arial" w:cs="Arial"/>
        <w:b/>
        <w:sz w:val="48"/>
      </w:rPr>
      <w:tab/>
    </w:r>
    <w:r>
      <w:fldChar w:fldCharType="begin"/>
    </w:r>
    <w:r>
      <w:instrText xml:space="preserve"> PAGE  \* MERGEFORMAT </w:instrText>
    </w:r>
    <w:r>
      <w:fldChar w:fldCharType="separate"/>
    </w:r>
    <w:r w:rsidR="007B3D9E">
      <w:rPr>
        <w:noProof/>
      </w:rPr>
      <w:t>2</w:t>
    </w:r>
    <w:r>
      <w:fldChar w:fldCharType="end"/>
    </w:r>
    <w:r>
      <w:tab/>
      <w:t xml:space="preserve"> </w:t>
    </w:r>
    <w:r>
      <w:tab/>
    </w:r>
    <w:r>
      <w:rPr>
        <w:rFonts w:ascii="Arial" w:hAnsi="Arial" w:cs="Arial"/>
        <w:b/>
        <w:sz w:val="48"/>
      </w:rPr>
      <w:t>RO</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78B" w:rsidRDefault="002807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78B" w:rsidRDefault="00382B7D">
      <w:pPr>
        <w:spacing w:before="0" w:after="0"/>
      </w:pPr>
      <w:r>
        <w:separator/>
      </w:r>
    </w:p>
  </w:footnote>
  <w:footnote w:type="continuationSeparator" w:id="0">
    <w:p w:rsidR="0028078B" w:rsidRDefault="00382B7D">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9E" w:rsidRPr="007B3D9E" w:rsidRDefault="007B3D9E" w:rsidP="007B3D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9E" w:rsidRPr="007B3D9E" w:rsidRDefault="007B3D9E" w:rsidP="007B3D9E">
    <w:pPr>
      <w:pStyle w:val="HeaderCouncilLar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D9E" w:rsidRPr="007B3D9E" w:rsidRDefault="007B3D9E" w:rsidP="007B3D9E">
    <w:pPr>
      <w:pStyle w:val="HeaderCounci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B7D" w:rsidRDefault="00382B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D261A34"/>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59160CB0"/>
    <w:lvl w:ilvl="0">
      <w:start w:val="1"/>
      <w:numFmt w:val="decimal"/>
      <w:pStyle w:val="ListNumber3"/>
      <w:lvlText w:val="%1."/>
      <w:lvlJc w:val="left"/>
      <w:pPr>
        <w:tabs>
          <w:tab w:val="num" w:pos="926"/>
        </w:tabs>
        <w:ind w:left="926" w:hanging="360"/>
      </w:pPr>
    </w:lvl>
  </w:abstractNum>
  <w:abstractNum w:abstractNumId="2">
    <w:nsid w:val="FFFFFF7F"/>
    <w:multiLevelType w:val="singleLevel"/>
    <w:tmpl w:val="A352312A"/>
    <w:lvl w:ilvl="0">
      <w:start w:val="1"/>
      <w:numFmt w:val="decimal"/>
      <w:pStyle w:val="ListNumber2"/>
      <w:lvlText w:val="%1."/>
      <w:lvlJc w:val="left"/>
      <w:pPr>
        <w:tabs>
          <w:tab w:val="num" w:pos="643"/>
        </w:tabs>
        <w:ind w:left="643" w:hanging="360"/>
      </w:pPr>
    </w:lvl>
  </w:abstractNum>
  <w:abstractNum w:abstractNumId="3">
    <w:nsid w:val="FFFFFF81"/>
    <w:multiLevelType w:val="singleLevel"/>
    <w:tmpl w:val="73A05276"/>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78AA98E8"/>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CA024DFA"/>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E2CC46B4"/>
    <w:lvl w:ilvl="0">
      <w:start w:val="1"/>
      <w:numFmt w:val="decimal"/>
      <w:pStyle w:val="ListNumber"/>
      <w:lvlText w:val="%1."/>
      <w:lvlJc w:val="left"/>
      <w:pPr>
        <w:tabs>
          <w:tab w:val="num" w:pos="360"/>
        </w:tabs>
        <w:ind w:left="360" w:hanging="360"/>
      </w:pPr>
    </w:lvl>
  </w:abstractNum>
  <w:abstractNum w:abstractNumId="7">
    <w:nsid w:val="FFFFFF89"/>
    <w:multiLevelType w:val="singleLevel"/>
    <w:tmpl w:val="6372733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AF240E"/>
    <w:multiLevelType w:val="hybridMultilevel"/>
    <w:tmpl w:val="C646F1F6"/>
    <w:styleLink w:val="Lettered"/>
    <w:lvl w:ilvl="0" w:tplc="C646F1F6">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14D04A">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06211B4">
      <w:start w:val="1"/>
      <w:numFmt w:val="lowerLetter"/>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3D6518E">
      <w:start w:val="1"/>
      <w:numFmt w:val="lowerLetter"/>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7AC4A3E">
      <w:start w:val="1"/>
      <w:numFmt w:val="lowerLetter"/>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C9C03AC">
      <w:start w:val="1"/>
      <w:numFmt w:val="lowerLetter"/>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EEA470C">
      <w:start w:val="1"/>
      <w:numFmt w:val="lowerLetter"/>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0D4B93C">
      <w:start w:val="1"/>
      <w:numFmt w:val="lowerLetter"/>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50A79C">
      <w:start w:val="1"/>
      <w:numFmt w:val="lowerLetter"/>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2">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4">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5">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nsid w:val="730136F6"/>
    <w:multiLevelType w:val="hybridMultilevel"/>
    <w:tmpl w:val="84BE107A"/>
    <w:styleLink w:val="Dash"/>
    <w:lvl w:ilvl="0" w:tplc="750E1258">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6083084">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BEFA2DB8">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479C972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26C23B9E">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72A45F7C">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7EAE6E76">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2E8C30AA">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46C095D2">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3">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22"/>
  </w:num>
  <w:num w:numId="2">
    <w:abstractNumId w:val="10"/>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3"/>
  </w:num>
  <w:num w:numId="14">
    <w:abstractNumId w:val="21"/>
  </w:num>
  <w:num w:numId="15">
    <w:abstractNumId w:val="12"/>
  </w:num>
  <w:num w:numId="16">
    <w:abstractNumId w:val="14"/>
  </w:num>
  <w:num w:numId="17">
    <w:abstractNumId w:val="9"/>
  </w:num>
  <w:num w:numId="18">
    <w:abstractNumId w:val="20"/>
  </w:num>
  <w:num w:numId="19">
    <w:abstractNumId w:val="8"/>
  </w:num>
  <w:num w:numId="20">
    <w:abstractNumId w:val="15"/>
  </w:num>
  <w:num w:numId="21">
    <w:abstractNumId w:val="17"/>
  </w:num>
  <w:num w:numId="22">
    <w:abstractNumId w:val="18"/>
  </w:num>
  <w:num w:numId="23">
    <w:abstractNumId w:val="11"/>
  </w:num>
  <w:num w:numId="24">
    <w:abstractNumId w:val="16"/>
  </w:num>
  <w:num w:numId="25">
    <w:abstractNumId w:val="23"/>
  </w:num>
  <w:num w:numId="26">
    <w:abstractNumId w:val="19"/>
  </w:num>
  <w:num w:numId="27">
    <w:abstractNumId w:val="13"/>
  </w:num>
  <w:num w:numId="28">
    <w:abstractNumId w:val="21"/>
  </w:num>
  <w:num w:numId="29">
    <w:abstractNumId w:val="12"/>
  </w:num>
  <w:num w:numId="30">
    <w:abstractNumId w:val="14"/>
  </w:num>
  <w:num w:numId="31">
    <w:abstractNumId w:val="9"/>
  </w:num>
  <w:num w:numId="32">
    <w:abstractNumId w:val="20"/>
  </w:num>
  <w:num w:numId="33">
    <w:abstractNumId w:val="8"/>
  </w:num>
  <w:num w:numId="34">
    <w:abstractNumId w:val="15"/>
  </w:num>
  <w:num w:numId="35">
    <w:abstractNumId w:val="17"/>
  </w:num>
  <w:num w:numId="36">
    <w:abstractNumId w:val="18"/>
  </w:num>
  <w:num w:numId="37">
    <w:abstractNumId w:val="11"/>
  </w:num>
  <w:num w:numId="38">
    <w:abstractNumId w:val="16"/>
  </w:num>
  <w:num w:numId="3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ttachedTemplate r:id="rId1"/>
  <w:defaultTabStop w:val="720"/>
  <w:characterSpacingControl w:val="doNotCompress"/>
  <w:hdrShapeDefaults>
    <o:shapedefaults v:ext="edit" spidmax="43009"/>
  </w:hdrShapeDefaults>
  <w:footnotePr>
    <w:footnote w:id="-1"/>
    <w:footnote w:id="0"/>
  </w:footnotePr>
  <w:endnotePr>
    <w:endnote w:id="-1"/>
    <w:endnote w:id="0"/>
  </w:endnotePr>
  <w:compat>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ouncil" w:val="true"/>
    <w:docVar w:name="COVERPAGE_EXISTS" w:val="True"/>
    <w:docVar w:name="CoverPageOnWordDoc" w:val="false"/>
    <w:docVar w:name="DocuWriteMetaData" w:val="&lt;metadataset docuwriteversion=&quot;3.9.1&quot; technicalblockguid=&quot;718ad6b7-e143-41df-873d-a0c3e711a415&quot;&gt;_x000d__x000a_  &lt;metadata key=&quot;md_DocumentLanguages&quot;&gt;_x000d__x000a_    &lt;basicdatatypelist&gt;_x000d__x000a_      &lt;language key=&quot;RO&quot; text=&quot;RO&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5&quot; text=&quot;PROPUNERE&quot; /&gt;_x000d__x000a_    &lt;/basicdatatype&gt;_x000d__x000a_  &lt;/metadata&gt;_x000d__x000a_  &lt;metadata key=&quot;md_HeadingText&quot;&gt;_x000d__x000a_    &lt;headingtext text=&quot;PROPUNERE&quot;&gt;_x000d__x000a_      &lt;formattedtext&gt;_x000d__x000a_        &lt;xaml text=&quot;PROPUNERE&quot;&gt;&amp;lt;FlowDocument xmlns=&quot;http://schemas.microsoft.com/winfx/2006/xaml/presentation&quot;&amp;gt;&amp;lt;Paragraph&amp;gt;PROPUNERE&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nsiliul Uniunii Europene&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xelles&quot; /&gt;_x000d__x000a_    &lt;/basicdatatype&gt;_x000d__x000a_  &lt;/metadata&gt;_x000d__x000a_  &lt;metadata key=&quot;md_DocumentDate&quot;&gt;_x000d__x000a_    &lt;text&gt;2017-02-01&lt;/text&gt;_x000d__x000a_  &lt;/metadata&gt;_x000d__x000a_  &lt;metadata key=&quot;md_Prefix&quot;&gt;_x000d__x000a_    &lt;text&gt;&lt;/text&gt;_x000d__x000a_  &lt;/metadata&gt;_x000d__x000a_  &lt;metadata key=&quot;md_DocumentNumber&quot;&gt;_x000d__x000a_    &lt;text&gt;5671&lt;/text&gt;_x000d__x000a_  &lt;/metadata&gt;_x000d__x000a_  &lt;metadata key=&quot;md_YearDocumentNumber&quot;&gt;_x000d__x000a_    &lt;text&gt;2017&lt;/text&gt;_x000d__x000a_  &lt;/metadata&gt;_x000d__x000a_  &lt;metadata key=&quot;md_Suffixes&quot;&gt;_x000d__x000a_    &lt;text&gt;ADD 1&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TRANS 28&lt;/text&gt;_x000d__x000a_      &lt;text&gt;CODEC 107&lt;/text&gt;_x000d__x000a_      &lt;text&gt;MI 91&lt;/text&gt;_x000d__x000a_      &lt;text&gt;EDUC 32&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gt;_x000d__x000a_      &lt;text&gt;2017/0015 (COD)&lt;/text&gt;_x000d__x000a_    &lt;/textlist&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Originator&quot;&gt;_x000d__x000a_    &lt;basicdatatype&gt;_x000d__x000a_      &lt;originator key=&quot;or_01&quot; text=&quot;Secretar general al Comisiei Europene, sub semn&amp;#259;tura dlui Jordi AYET PUIGARNAU, director&quot; /&gt;_x000d__x000a_    &lt;/basicdatatype&gt;_x000d__x000a_  &lt;/metadata&gt;_x000d__x000a_  &lt;metadata key=&quot;md_Recipient&quot;&gt;_x000d__x000a_    &lt;basicdatatype&gt;_x000d__x000a_      &lt;recipient key=&quot;re_02&quot; text=&quot;Dl Jeppe TRANHOLM-MIKKELSEN, Secretarul General al Consiliului Uniunii Europene&quot; /&gt;_x000d__x000a_    &lt;/basicdatatype&gt;_x000d__x000a_  &lt;/metadata&gt;_x000d__x000a_  &lt;metadata key=&quot;md_DateOfReceipt&quot;&gt;_x000d__x000a_    &lt;text&gt;2017-02-01&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COM(2017) 47 final - ANNEX 1&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gt;_x000d__x000a_    &lt;xaml text=&quot;ANEX&amp;#258; la DIRECTIVA PARLAMENTULUI EUROPEAN &amp;#536;I A CONSILIULUI 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quot;&gt;&amp;lt;FlowDocument FontFamily=&quot;Arial Unicode MS&quot; FontSize=&quot;12&quot; PagePadding=&quot;5,0,5,0&quot; AllowDrop=&quot;False&quot; xmlns=&quot;http://schemas.microsoft.com/winfx/2006/xaml/presentation&quot;&amp;gt;&amp;lt;Paragraph&amp;gt;ANEX&amp;#258; la DIRECTIVA PARLAMENTULUI EUROPEAN &amp;#536;I A CONSILIULUI 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amp;lt;/Paragraph&amp;gt;&amp;lt;/FlowDocument&amp;gt;&lt;/xaml&gt;_x000d__x000a_  &lt;/metadata&gt;_x000d__x000a_  &lt;metadata key=&quot;md_SubjectFootnote&quot; /&gt;_x000d__x000a_  &lt;metadata key=&quot;md_DG&quot;&gt;_x000d__x000a_    &lt;text&gt;DGE 2A&lt;/text&gt;_x000d__x000a_  &lt;/metadata&gt;_x000d__x000a_  &lt;metadata key=&quot;md_Initials&quot;&gt;_x000d__x000a_    &lt;text&gt;rr&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RO&lt;/text&gt;_x000d__x000a_  &lt;/metadata&gt;_x000d__x000a_  &lt;metadata key=&quot;md_SourceDocType&quot;&gt;_x000d__x000a_    &lt;text&gt;ANEX&amp;#258;&lt;/text&gt;_x000d__x000a_  &lt;/metadata&gt;_x000d__x000a_  &lt;metadata key=&quot;md_SourceDocTitle&quot;&gt;_x000d__x000a_    &lt;text&gt;la_x000d__x000a__x000d__x000a_DIRECTIVA PARLAMENTULUI EUROPEAN &amp;#536;I A CONSILIULUI_x000d__x000a__x000d__x000a_de modificare a Directivei 2003/59/CE privind calificarea ini&amp;#539;ial&amp;#259; &amp;#537;i formarea periodic&amp;#259; a conduc&amp;#259;torilor auto ai anumitor vehicule rutiere destinate transportului de m&amp;#259;rfuri sau de pasageri, precum &amp;#537;i a Directivei 2006/126/CE privind permisele de conducere&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Meetings&quot; /&gt;_x000d__x000a_  &lt;metadata key=&quot;md_VisualRepresentation&quot;&gt;_x000d__x000a_    &lt;basicdatatype&gt;_x000d__x000a_      &lt;originator key=&quot;visrep_02&quot; /&gt;_x000d__x000a_    &lt;/basicdatatype&gt;_x000d__x000a_  &lt;/metadata&gt;_x000d__x000a_  &lt;metadata key=&quot;md_LetterData&quot; /&gt;_x000d__x000a_&lt;/metadataset&gt;"/>
    <w:docVar w:name="DQCDateTime" w:val="2017-02-01 09:11:28"/>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17"/>
    <w:docVar w:name="DQCResult_UnknownFonts" w:val="0;0"/>
    <w:docVar w:name="DQCResult_UnknownStyles" w:val="0;0"/>
    <w:docVar w:name="DQCStatus" w:val="Green"/>
    <w:docVar w:name="DQCVersion" w:val="3"/>
    <w:docVar w:name="DQCWithWarnings" w:val="0"/>
    <w:docVar w:name="LW_ACCOMPAGNANT.CP" w:val="&lt;UNUSED&gt;"/>
    <w:docVar w:name="LW_ANNEX_NBR_FIRST" w:val="1"/>
    <w:docVar w:name="LW_ANNEX_NBR_LAST" w:val="1"/>
    <w:docVar w:name="LW_CONFIDENCE" w:val=" "/>
    <w:docVar w:name="LW_CONST_RESTREINT_UE" w:val="RESTREINT UE"/>
    <w:docVar w:name="LW_CORRIGENDUM" w:val="&lt;UNUSED&gt;"/>
    <w:docVar w:name="LW_COVERPAGE_GUID" w:val="5A1E91029023474CB6F0C4780275B87A"/>
    <w:docVar w:name="LW_CROSSREFERENCE" w:val="{SWD(2017) 26 final}_x000b_{SWD(2017) 27 final}"/>
    <w:docVar w:name="LW_DocType" w:val="ANNEX"/>
    <w:docVar w:name="LW_EMISSION" w:val="1.2.2017"/>
    <w:docVar w:name="LW_EMISSION_ISODATE" w:val="2017-02-01"/>
    <w:docVar w:name="LW_EMISSION_LOCATION" w:val="BRX"/>
    <w:docVar w:name="LW_EMISSION_PREFIX" w:val="Bruxelles, "/>
    <w:docVar w:name="LW_EMISSION_SUFFIX" w:val=" "/>
    <w:docVar w:name="LW_ID_DOCSTRUCTURE" w:val="COM/ANNEX"/>
    <w:docVar w:name="LW_ID_DOCTYPE" w:val="SG-017"/>
    <w:docVar w:name="LW_LANGUE" w:val="RO"/>
    <w:docVar w:name="LW_MARKING" w:val="&lt;UNUSED&gt;"/>
    <w:docVar w:name="LW_NOM.INST" w:val="COMISIA EUROPEAN\u258?"/>
    <w:docVar w:name="LW_NOM.INST_JOINTDOC" w:val="&lt;EMPTY&gt;"/>
    <w:docVar w:name="LW_OBJETACTEPRINCIPAL.CP" w:val="&lt;UNUSED&gt;"/>
    <w:docVar w:name="LW_PART_NBR" w:val="1"/>
    <w:docVar w:name="LW_PART_NBR_TOTAL" w:val="1"/>
    <w:docVar w:name="LW_REF.INST.NEW" w:val="COM"/>
    <w:docVar w:name="LW_REF.INST.NEW_ADOPTED" w:val="final"/>
    <w:docVar w:name="LW_REF.INST.NEW_TEXT" w:val="(2017) 47"/>
    <w:docVar w:name="LW_REF.INTERNE" w:val="&lt;UNUSED&gt;"/>
    <w:docVar w:name="LW_SUPERTITRE" w:val="&lt;UNUSED&gt;"/>
    <w:docVar w:name="LW_TITRE.OBJ.CP" w:val="la_x000b__x000b_DIRECTIVA PARLAMENTULUI EUROPEAN \u536?I A CONSILIULUI_x000b__x000b_de modificare a Directivei 2003/59/CE privind calificarea ini\u539?ial\u259? \u537?i formarea periodic\u259? a conduc\u259?torilor auto ai anumitor vehicule rutiere destinate transportului de m\u259?rfuri sau de pasageri, precum \u537?i a Directivei 2006/126/CE privind permisele de conducere"/>
    <w:docVar w:name="LW_TYPE.DOC.CP" w:val="ANEX\u258?"/>
    <w:docVar w:name="LW_TYPEACTEPRINCIPAL.CP" w:val="&lt;UNUSED&gt;"/>
  </w:docVars>
  <w:rsids>
    <w:rsidRoot w:val="0028078B"/>
    <w:rsid w:val="0028078B"/>
    <w:rsid w:val="00382B7D"/>
    <w:rsid w:val="007B3D9E"/>
    <w:rsid w:val="00964C68"/>
    <w:rsid w:val="00A961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en-GB"/>
    </w:rPr>
  </w:style>
  <w:style w:type="numbering" w:customStyle="1" w:styleId="Dash">
    <w:name w:val="Dash"/>
    <w:pPr>
      <w:numPr>
        <w:numId w:val="1"/>
      </w:numPr>
    </w:pPr>
  </w:style>
  <w:style w:type="numbering" w:customStyle="1" w:styleId="Lettered">
    <w:name w:val="Lettered"/>
    <w:pPr>
      <w:numPr>
        <w:numId w:val="2"/>
      </w:numPr>
    </w:pPr>
  </w:style>
  <w:style w:type="paragraph" w:styleId="ListParagraph">
    <w:name w:val="List Paragraph"/>
    <w:basedOn w:val="Normal"/>
    <w:uiPriority w:val="34"/>
    <w:qFormat/>
    <w:pPr>
      <w:ind w:left="720"/>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3"/>
      </w:numPr>
      <w:contextualSpacing/>
    </w:pPr>
  </w:style>
  <w:style w:type="paragraph" w:styleId="ListBullet2">
    <w:name w:val="List Bullet 2"/>
    <w:basedOn w:val="Normal"/>
    <w:uiPriority w:val="99"/>
    <w:semiHidden/>
    <w:unhideWhenUsed/>
    <w:pPr>
      <w:numPr>
        <w:numId w:val="4"/>
      </w:numPr>
      <w:contextualSpacing/>
    </w:pPr>
  </w:style>
  <w:style w:type="paragraph" w:styleId="ListBullet3">
    <w:name w:val="List Bullet 3"/>
    <w:basedOn w:val="Normal"/>
    <w:uiPriority w:val="99"/>
    <w:semiHidden/>
    <w:unhideWhenUsed/>
    <w:pPr>
      <w:numPr>
        <w:numId w:val="5"/>
      </w:numPr>
      <w:contextualSpacing/>
    </w:pPr>
  </w:style>
  <w:style w:type="paragraph" w:styleId="ListBullet4">
    <w:name w:val="List Bullet 4"/>
    <w:basedOn w:val="Normal"/>
    <w:uiPriority w:val="99"/>
    <w:semiHidden/>
    <w:unhideWhenUsed/>
    <w:pPr>
      <w:numPr>
        <w:numId w:val="6"/>
      </w:numPr>
      <w:contextualSpacing/>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paragraph" w:styleId="ListNumber4">
    <w:name w:val="List Number 4"/>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ro-RO"/>
    </w:rPr>
  </w:style>
  <w:style w:type="paragraph" w:customStyle="1" w:styleId="Pointlett">
    <w:name w:val="Point lett"/>
    <w:basedOn w:val="Normal"/>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6"/>
      </w:numPr>
    </w:pPr>
  </w:style>
  <w:style w:type="paragraph" w:customStyle="1" w:styleId="Tiret1">
    <w:name w:val="Tiret 1"/>
    <w:basedOn w:val="Point1"/>
    <w:pPr>
      <w:numPr>
        <w:numId w:val="27"/>
      </w:numPr>
    </w:pPr>
  </w:style>
  <w:style w:type="paragraph" w:customStyle="1" w:styleId="Tiret2">
    <w:name w:val="Tiret 2"/>
    <w:basedOn w:val="Point2"/>
    <w:pPr>
      <w:numPr>
        <w:numId w:val="28"/>
      </w:numPr>
    </w:pPr>
  </w:style>
  <w:style w:type="paragraph" w:customStyle="1" w:styleId="Tiret3">
    <w:name w:val="Tiret 3"/>
    <w:basedOn w:val="Point3"/>
    <w:pPr>
      <w:numPr>
        <w:numId w:val="29"/>
      </w:numPr>
    </w:pPr>
  </w:style>
  <w:style w:type="paragraph" w:customStyle="1" w:styleId="Tiret4">
    <w:name w:val="Tiret 4"/>
    <w:basedOn w:val="Point4"/>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382B7D"/>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180" w:after="180"/>
      <w:jc w:val="center"/>
    </w:pPr>
    <w:rPr>
      <w:b/>
    </w:rPr>
  </w:style>
  <w:style w:type="paragraph" w:customStyle="1" w:styleId="Typedudocument">
    <w:name w:val="Type du document"/>
    <w:basedOn w:val="Normal"/>
    <w:next w:val="Titreobje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382B7D"/>
    <w:pPr>
      <w:spacing w:before="0" w:after="240"/>
      <w:jc w:val="center"/>
    </w:pPr>
  </w:style>
  <w:style w:type="character" w:customStyle="1" w:styleId="TechnicalBlockChar">
    <w:name w:val="Technical Block Char"/>
    <w:basedOn w:val="DefaultParagraphFont"/>
    <w:link w:val="TechnicalBlock"/>
    <w:rsid w:val="00382B7D"/>
    <w:rPr>
      <w:rFonts w:ascii="Times New Roman" w:hAnsi="Times New Roman" w:cs="Times New Roman"/>
      <w:sz w:val="24"/>
    </w:rPr>
  </w:style>
  <w:style w:type="paragraph" w:customStyle="1" w:styleId="Lignefinal">
    <w:name w:val="Ligne final"/>
    <w:basedOn w:val="Normal"/>
    <w:next w:val="Normal"/>
    <w:rsid w:val="00382B7D"/>
    <w:pPr>
      <w:pBdr>
        <w:bottom w:val="single" w:sz="4" w:space="0" w:color="000000"/>
      </w:pBdr>
      <w:spacing w:before="360" w:line="360" w:lineRule="auto"/>
      <w:ind w:left="3400" w:right="3400"/>
      <w:jc w:val="center"/>
    </w:pPr>
    <w:rPr>
      <w:b/>
    </w:rPr>
  </w:style>
  <w:style w:type="paragraph" w:customStyle="1" w:styleId="EntText">
    <w:name w:val="EntText"/>
    <w:basedOn w:val="Normal"/>
    <w:rsid w:val="00382B7D"/>
    <w:pPr>
      <w:spacing w:line="360" w:lineRule="auto"/>
      <w:jc w:val="left"/>
    </w:pPr>
  </w:style>
  <w:style w:type="paragraph" w:customStyle="1" w:styleId="pj">
    <w:name w:val="p.j."/>
    <w:basedOn w:val="Normal"/>
    <w:link w:val="pjChar"/>
    <w:rsid w:val="00382B7D"/>
    <w:pPr>
      <w:spacing w:before="1200"/>
      <w:ind w:left="1440" w:hanging="1440"/>
      <w:jc w:val="left"/>
    </w:pPr>
  </w:style>
  <w:style w:type="character" w:customStyle="1" w:styleId="pjChar">
    <w:name w:val="p.j. Char"/>
    <w:basedOn w:val="TechnicalBlockChar"/>
    <w:link w:val="pj"/>
    <w:rsid w:val="00382B7D"/>
    <w:rPr>
      <w:rFonts w:ascii="Times New Roman" w:hAnsi="Times New Roman" w:cs="Times New Roman"/>
      <w:sz w:val="24"/>
    </w:rPr>
  </w:style>
  <w:style w:type="paragraph" w:customStyle="1" w:styleId="HeaderCouncil">
    <w:name w:val="Header Council"/>
    <w:basedOn w:val="Normal"/>
    <w:link w:val="HeaderCouncilChar"/>
    <w:rsid w:val="00382B7D"/>
    <w:pPr>
      <w:spacing w:before="0" w:after="0"/>
    </w:pPr>
    <w:rPr>
      <w:sz w:val="2"/>
    </w:rPr>
  </w:style>
  <w:style w:type="character" w:customStyle="1" w:styleId="HeaderCouncilChar">
    <w:name w:val="Header Council Char"/>
    <w:basedOn w:val="pjChar"/>
    <w:link w:val="HeaderCouncil"/>
    <w:rsid w:val="00382B7D"/>
    <w:rPr>
      <w:rFonts w:ascii="Times New Roman" w:hAnsi="Times New Roman" w:cs="Times New Roman"/>
      <w:sz w:val="2"/>
    </w:rPr>
  </w:style>
  <w:style w:type="paragraph" w:customStyle="1" w:styleId="HeaderCouncilLarge">
    <w:name w:val="Header Council Large"/>
    <w:basedOn w:val="Normal"/>
    <w:link w:val="HeaderCouncilLargeChar"/>
    <w:rsid w:val="00382B7D"/>
    <w:pPr>
      <w:spacing w:before="0" w:after="440"/>
    </w:pPr>
    <w:rPr>
      <w:sz w:val="2"/>
    </w:rPr>
  </w:style>
  <w:style w:type="character" w:customStyle="1" w:styleId="HeaderCouncilLargeChar">
    <w:name w:val="Header Council Large Char"/>
    <w:basedOn w:val="pjChar"/>
    <w:link w:val="HeaderCouncilLarge"/>
    <w:rsid w:val="00382B7D"/>
    <w:rPr>
      <w:rFonts w:ascii="Times New Roman" w:hAnsi="Times New Roman" w:cs="Times New Roman"/>
      <w:sz w:val="2"/>
    </w:rPr>
  </w:style>
  <w:style w:type="paragraph" w:customStyle="1" w:styleId="FooterCouncil">
    <w:name w:val="Footer Council"/>
    <w:basedOn w:val="Normal"/>
    <w:link w:val="FooterCouncilChar"/>
    <w:rsid w:val="00382B7D"/>
    <w:pPr>
      <w:spacing w:before="0" w:after="0"/>
    </w:pPr>
    <w:rPr>
      <w:sz w:val="2"/>
    </w:rPr>
  </w:style>
  <w:style w:type="character" w:customStyle="1" w:styleId="FooterCouncilChar">
    <w:name w:val="Footer Council Char"/>
    <w:basedOn w:val="pjChar"/>
    <w:link w:val="FooterCouncil"/>
    <w:rsid w:val="00382B7D"/>
    <w:rPr>
      <w:rFonts w:ascii="Times New Roman" w:hAnsi="Times New Roman" w:cs="Times New Roman"/>
      <w:sz w:val="2"/>
    </w:rPr>
  </w:style>
  <w:style w:type="paragraph" w:customStyle="1" w:styleId="FooterText">
    <w:name w:val="Footer Text"/>
    <w:basedOn w:val="Normal"/>
    <w:rsid w:val="00382B7D"/>
    <w:pPr>
      <w:spacing w:before="0" w:after="0"/>
      <w:jc w:val="left"/>
    </w:pPr>
    <w:rPr>
      <w:rFonts w:eastAsia="Times New Roman"/>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line="240" w:lineRule="auto"/>
      <w:jc w:val="both"/>
    </w:pPr>
    <w:rPr>
      <w:rFonts w:ascii="Times New Roman" w:hAnsi="Times New Roman" w:cs="Times New Roman"/>
      <w:sz w:val="24"/>
    </w:rPr>
  </w:style>
  <w:style w:type="paragraph" w:styleId="Heading1">
    <w:name w:val="heading 1"/>
    <w:basedOn w:val="Normal"/>
    <w:next w:val="Text1"/>
    <w:link w:val="Heading1Char"/>
    <w:uiPriority w:val="9"/>
    <w:qFormat/>
    <w:pPr>
      <w:keepNext/>
      <w:numPr>
        <w:numId w:val="32"/>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32"/>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32"/>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32"/>
      </w:numPr>
      <w:outlineLvl w:val="3"/>
    </w:pPr>
    <w:rPr>
      <w:rFonts w:eastAsiaTheme="majorEastAsia"/>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en-GB"/>
    </w:rPr>
  </w:style>
  <w:style w:type="numbering" w:customStyle="1" w:styleId="Dash">
    <w:name w:val="Dash"/>
    <w:pPr>
      <w:numPr>
        <w:numId w:val="1"/>
      </w:numPr>
    </w:pPr>
  </w:style>
  <w:style w:type="numbering" w:customStyle="1" w:styleId="Lettered">
    <w:name w:val="Lettered"/>
    <w:pPr>
      <w:numPr>
        <w:numId w:val="2"/>
      </w:numPr>
    </w:pPr>
  </w:style>
  <w:style w:type="paragraph" w:styleId="ListParagraph">
    <w:name w:val="List Paragraph"/>
    <w:basedOn w:val="Normal"/>
    <w:uiPriority w:val="34"/>
    <w:qFormat/>
    <w:pPr>
      <w:ind w:left="720"/>
      <w:contextualSpacing/>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TableofFigures">
    <w:name w:val="table of figures"/>
    <w:basedOn w:val="Normal"/>
    <w:next w:val="Normal"/>
    <w:uiPriority w:val="99"/>
    <w:semiHidden/>
    <w:unhideWhenUsed/>
    <w:pPr>
      <w:spacing w:after="0"/>
    </w:pPr>
  </w:style>
  <w:style w:type="paragraph" w:styleId="ListBullet">
    <w:name w:val="List Bullet"/>
    <w:basedOn w:val="Normal"/>
    <w:uiPriority w:val="99"/>
    <w:semiHidden/>
    <w:unhideWhenUsed/>
    <w:pPr>
      <w:numPr>
        <w:numId w:val="3"/>
      </w:numPr>
      <w:contextualSpacing/>
    </w:pPr>
  </w:style>
  <w:style w:type="paragraph" w:styleId="ListBullet2">
    <w:name w:val="List Bullet 2"/>
    <w:basedOn w:val="Normal"/>
    <w:uiPriority w:val="99"/>
    <w:semiHidden/>
    <w:unhideWhenUsed/>
    <w:pPr>
      <w:numPr>
        <w:numId w:val="4"/>
      </w:numPr>
      <w:contextualSpacing/>
    </w:pPr>
  </w:style>
  <w:style w:type="paragraph" w:styleId="ListBullet3">
    <w:name w:val="List Bullet 3"/>
    <w:basedOn w:val="Normal"/>
    <w:uiPriority w:val="99"/>
    <w:semiHidden/>
    <w:unhideWhenUsed/>
    <w:pPr>
      <w:numPr>
        <w:numId w:val="5"/>
      </w:numPr>
      <w:contextualSpacing/>
    </w:pPr>
  </w:style>
  <w:style w:type="paragraph" w:styleId="ListBullet4">
    <w:name w:val="List Bullet 4"/>
    <w:basedOn w:val="Normal"/>
    <w:uiPriority w:val="99"/>
    <w:semiHidden/>
    <w:unhideWhenUsed/>
    <w:pPr>
      <w:numPr>
        <w:numId w:val="6"/>
      </w:numPr>
      <w:contextualSpacing/>
    </w:pPr>
  </w:style>
  <w:style w:type="paragraph" w:styleId="ListNumber">
    <w:name w:val="List Number"/>
    <w:basedOn w:val="Normal"/>
    <w:uiPriority w:val="99"/>
    <w:semiHidden/>
    <w:unhideWhenUsed/>
    <w:pPr>
      <w:numPr>
        <w:numId w:val="7"/>
      </w:numPr>
      <w:contextualSpacing/>
    </w:pPr>
  </w:style>
  <w:style w:type="paragraph" w:styleId="ListNumber2">
    <w:name w:val="List Number 2"/>
    <w:basedOn w:val="Normal"/>
    <w:uiPriority w:val="99"/>
    <w:semiHidden/>
    <w:unhideWhenUsed/>
    <w:pPr>
      <w:numPr>
        <w:numId w:val="8"/>
      </w:numPr>
      <w:contextualSpacing/>
    </w:pPr>
  </w:style>
  <w:style w:type="paragraph" w:styleId="ListNumber3">
    <w:name w:val="List Number 3"/>
    <w:basedOn w:val="Normal"/>
    <w:uiPriority w:val="99"/>
    <w:semiHidden/>
    <w:unhideWhenUsed/>
    <w:pPr>
      <w:numPr>
        <w:numId w:val="9"/>
      </w:numPr>
      <w:contextualSpacing/>
    </w:pPr>
  </w:style>
  <w:style w:type="paragraph" w:styleId="ListNumber4">
    <w:name w:val="List Number 4"/>
    <w:basedOn w:val="Normal"/>
    <w:uiPriority w:val="99"/>
    <w:semiHidden/>
    <w:unhideWhenUsed/>
    <w:pPr>
      <w:numPr>
        <w:numId w:val="10"/>
      </w:numPr>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ro-RO"/>
    </w:rPr>
  </w:style>
  <w:style w:type="character" w:styleId="Hyperlink">
    <w:name w:val="Hyperlink"/>
    <w:basedOn w:val="DefaultParagraphFont"/>
    <w:uiPriority w:val="99"/>
    <w:unhideWhenUsed/>
    <w:rPr>
      <w:color w:val="0000FF" w:themeColor="hyperlink"/>
      <w:u w:val="single"/>
    </w:rPr>
  </w:style>
  <w:style w:type="paragraph" w:styleId="BalloonText">
    <w:name w:val="Balloon Text"/>
    <w:basedOn w:val="Normal"/>
    <w:link w:val="BalloonTextChar"/>
    <w:uiPriority w:val="99"/>
    <w:semiHidden/>
    <w:unhideWhenUse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ro-RO"/>
    </w:rPr>
  </w:style>
  <w:style w:type="paragraph" w:customStyle="1" w:styleId="Pointlett">
    <w:name w:val="Point lett"/>
    <w:basedOn w:val="Normal"/>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shd w:val="clear" w:color="auto" w:fill="auto"/>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shd w:val="clear" w:color="auto" w:fill="auto"/>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shd w:val="clear" w:color="auto" w:fill="auto"/>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Tiret0">
    <w:name w:val="Tiret 0"/>
    <w:basedOn w:val="Point0"/>
    <w:pPr>
      <w:numPr>
        <w:numId w:val="26"/>
      </w:numPr>
    </w:pPr>
  </w:style>
  <w:style w:type="paragraph" w:customStyle="1" w:styleId="Tiret1">
    <w:name w:val="Tiret 1"/>
    <w:basedOn w:val="Point1"/>
    <w:pPr>
      <w:numPr>
        <w:numId w:val="27"/>
      </w:numPr>
    </w:pPr>
  </w:style>
  <w:style w:type="paragraph" w:customStyle="1" w:styleId="Tiret2">
    <w:name w:val="Tiret 2"/>
    <w:basedOn w:val="Point2"/>
    <w:pPr>
      <w:numPr>
        <w:numId w:val="28"/>
      </w:numPr>
    </w:pPr>
  </w:style>
  <w:style w:type="paragraph" w:customStyle="1" w:styleId="Tiret3">
    <w:name w:val="Tiret 3"/>
    <w:basedOn w:val="Point3"/>
    <w:pPr>
      <w:numPr>
        <w:numId w:val="29"/>
      </w:numPr>
    </w:pPr>
  </w:style>
  <w:style w:type="paragraph" w:customStyle="1" w:styleId="Tiret4">
    <w:name w:val="Tiret 4"/>
    <w:basedOn w:val="Point4"/>
    <w:pPr>
      <w:numPr>
        <w:numId w:val="30"/>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31"/>
      </w:numPr>
    </w:pPr>
  </w:style>
  <w:style w:type="paragraph" w:customStyle="1" w:styleId="NumPar2">
    <w:name w:val="NumPar 2"/>
    <w:basedOn w:val="Normal"/>
    <w:next w:val="Text1"/>
    <w:pPr>
      <w:numPr>
        <w:ilvl w:val="1"/>
        <w:numId w:val="31"/>
      </w:numPr>
    </w:pPr>
  </w:style>
  <w:style w:type="paragraph" w:customStyle="1" w:styleId="NumPar3">
    <w:name w:val="NumPar 3"/>
    <w:basedOn w:val="Normal"/>
    <w:next w:val="Text1"/>
    <w:pPr>
      <w:numPr>
        <w:ilvl w:val="2"/>
        <w:numId w:val="31"/>
      </w:numPr>
    </w:pPr>
  </w:style>
  <w:style w:type="paragraph" w:customStyle="1" w:styleId="NumPar4">
    <w:name w:val="NumPar 4"/>
    <w:basedOn w:val="Normal"/>
    <w:next w:val="Text1"/>
    <w:pPr>
      <w:numPr>
        <w:ilvl w:val="3"/>
        <w:numId w:val="31"/>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sid w:val="00382B7D"/>
    <w:rPr>
      <w:color w:val="0000FF"/>
      <w:bdr w:val="none" w:sz="0" w:space="0" w:color="auto"/>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33"/>
      </w:numPr>
    </w:pPr>
  </w:style>
  <w:style w:type="paragraph" w:customStyle="1" w:styleId="Point1number">
    <w:name w:val="Point 1 (number)"/>
    <w:basedOn w:val="Normal"/>
    <w:pPr>
      <w:numPr>
        <w:ilvl w:val="2"/>
        <w:numId w:val="33"/>
      </w:numPr>
    </w:pPr>
  </w:style>
  <w:style w:type="paragraph" w:customStyle="1" w:styleId="Point2number">
    <w:name w:val="Point 2 (number)"/>
    <w:basedOn w:val="Normal"/>
    <w:pPr>
      <w:numPr>
        <w:ilvl w:val="4"/>
        <w:numId w:val="33"/>
      </w:numPr>
    </w:pPr>
  </w:style>
  <w:style w:type="paragraph" w:customStyle="1" w:styleId="Point3number">
    <w:name w:val="Point 3 (number)"/>
    <w:basedOn w:val="Normal"/>
    <w:pPr>
      <w:numPr>
        <w:ilvl w:val="6"/>
        <w:numId w:val="33"/>
      </w:numPr>
    </w:pPr>
  </w:style>
  <w:style w:type="paragraph" w:customStyle="1" w:styleId="Point0letter">
    <w:name w:val="Point 0 (letter)"/>
    <w:basedOn w:val="Normal"/>
    <w:pPr>
      <w:numPr>
        <w:ilvl w:val="1"/>
        <w:numId w:val="33"/>
      </w:numPr>
    </w:pPr>
  </w:style>
  <w:style w:type="paragraph" w:customStyle="1" w:styleId="Point1letter">
    <w:name w:val="Point 1 (letter)"/>
    <w:basedOn w:val="Normal"/>
    <w:pPr>
      <w:numPr>
        <w:ilvl w:val="3"/>
        <w:numId w:val="33"/>
      </w:numPr>
    </w:pPr>
  </w:style>
  <w:style w:type="paragraph" w:customStyle="1" w:styleId="Point2letter">
    <w:name w:val="Point 2 (letter)"/>
    <w:basedOn w:val="Normal"/>
    <w:pPr>
      <w:numPr>
        <w:ilvl w:val="5"/>
        <w:numId w:val="33"/>
      </w:numPr>
    </w:pPr>
  </w:style>
  <w:style w:type="paragraph" w:customStyle="1" w:styleId="Point3letter">
    <w:name w:val="Point 3 (letter)"/>
    <w:basedOn w:val="Normal"/>
    <w:pPr>
      <w:numPr>
        <w:ilvl w:val="7"/>
        <w:numId w:val="33"/>
      </w:numPr>
    </w:pPr>
  </w:style>
  <w:style w:type="paragraph" w:customStyle="1" w:styleId="Point4letter">
    <w:name w:val="Point 4 (letter)"/>
    <w:basedOn w:val="Normal"/>
    <w:pPr>
      <w:numPr>
        <w:ilvl w:val="8"/>
        <w:numId w:val="33"/>
      </w:numPr>
    </w:pPr>
  </w:style>
  <w:style w:type="paragraph" w:customStyle="1" w:styleId="Bullet0">
    <w:name w:val="Bullet 0"/>
    <w:basedOn w:val="Normal"/>
    <w:pPr>
      <w:numPr>
        <w:numId w:val="34"/>
      </w:numPr>
    </w:pPr>
  </w:style>
  <w:style w:type="paragraph" w:customStyle="1" w:styleId="Bullet1">
    <w:name w:val="Bullet 1"/>
    <w:basedOn w:val="Normal"/>
    <w:pPr>
      <w:numPr>
        <w:numId w:val="35"/>
      </w:numPr>
    </w:pPr>
  </w:style>
  <w:style w:type="paragraph" w:customStyle="1" w:styleId="Bullet2">
    <w:name w:val="Bullet 2"/>
    <w:basedOn w:val="Normal"/>
    <w:pPr>
      <w:numPr>
        <w:numId w:val="36"/>
      </w:numPr>
    </w:pPr>
  </w:style>
  <w:style w:type="paragraph" w:customStyle="1" w:styleId="Bullet3">
    <w:name w:val="Bullet 3"/>
    <w:basedOn w:val="Normal"/>
    <w:pPr>
      <w:numPr>
        <w:numId w:val="37"/>
      </w:numPr>
    </w:pPr>
  </w:style>
  <w:style w:type="paragraph" w:customStyle="1" w:styleId="Bullet4">
    <w:name w:val="Bullet 4"/>
    <w:basedOn w:val="Normal"/>
    <w:pPr>
      <w:numPr>
        <w:numId w:val="38"/>
      </w:numPr>
    </w:p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39"/>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mission">
    <w:name w:val="Emission"/>
    <w:basedOn w:val="Normal"/>
    <w:next w:val="Rfrenceinstitutionnelle"/>
    <w:pPr>
      <w:spacing w:before="0" w:after="0"/>
      <w:ind w:left="5103"/>
      <w:jc w:val="left"/>
    </w:p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ManualConsidrant">
    <w:name w:val="Manual Considérant"/>
    <w:basedOn w:val="Normal"/>
    <w:pPr>
      <w:ind w:left="709" w:hanging="709"/>
    </w:p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stitutionnelle">
    <w:name w:val="Référence institutionnelle"/>
    <w:basedOn w:val="Normal"/>
    <w:next w:val="Confidentialit"/>
    <w:pPr>
      <w:spacing w:before="0" w:after="240"/>
      <w:ind w:left="5103"/>
      <w:jc w:val="left"/>
    </w:p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ous-titreobjet">
    <w:name w:val="Sous-titre objet"/>
    <w:basedOn w:val="Normal"/>
    <w:pPr>
      <w:spacing w:before="0" w:after="0"/>
      <w:jc w:val="center"/>
    </w:pPr>
    <w:rPr>
      <w:b/>
    </w:r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Sous-titreobjet"/>
    <w:pPr>
      <w:spacing w:before="180" w:after="180"/>
      <w:jc w:val="center"/>
    </w:pPr>
    <w:rPr>
      <w:b/>
    </w:rPr>
  </w:style>
  <w:style w:type="paragraph" w:customStyle="1" w:styleId="Typedudocument">
    <w:name w:val="Type du document"/>
    <w:basedOn w:val="Normal"/>
    <w:next w:val="Titreobjet"/>
    <w:pPr>
      <w:spacing w:before="360" w:after="18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Pagedecouverture">
    <w:name w:val="Page de couverture"/>
    <w:basedOn w:val="Normal"/>
    <w:next w:val="Normal"/>
    <w:pPr>
      <w:spacing w:before="0" w:after="0"/>
    </w:p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ous-titreobjetPagedecouverture">
    <w:name w:val="Sous-titre objet (Page de couverture)"/>
    <w:basedOn w:val="Sous-titreobje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Sous-titreobjet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180" w:after="240"/>
      <w:jc w:val="center"/>
    </w:pPr>
    <w:rPr>
      <w:b/>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customStyle="1" w:styleId="TechnicalBlock">
    <w:name w:val="Technical Block"/>
    <w:basedOn w:val="Normal"/>
    <w:link w:val="TechnicalBlockChar"/>
    <w:rsid w:val="00382B7D"/>
    <w:pPr>
      <w:spacing w:before="0" w:after="240"/>
      <w:jc w:val="center"/>
    </w:pPr>
  </w:style>
  <w:style w:type="character" w:customStyle="1" w:styleId="TechnicalBlockChar">
    <w:name w:val="Technical Block Char"/>
    <w:basedOn w:val="DefaultParagraphFont"/>
    <w:link w:val="TechnicalBlock"/>
    <w:rsid w:val="00382B7D"/>
    <w:rPr>
      <w:rFonts w:ascii="Times New Roman" w:hAnsi="Times New Roman" w:cs="Times New Roman"/>
      <w:sz w:val="24"/>
    </w:rPr>
  </w:style>
  <w:style w:type="paragraph" w:customStyle="1" w:styleId="Lignefinal">
    <w:name w:val="Ligne final"/>
    <w:basedOn w:val="Normal"/>
    <w:next w:val="Normal"/>
    <w:rsid w:val="00382B7D"/>
    <w:pPr>
      <w:pBdr>
        <w:bottom w:val="single" w:sz="4" w:space="0" w:color="000000"/>
      </w:pBdr>
      <w:spacing w:before="360" w:line="360" w:lineRule="auto"/>
      <w:ind w:left="3400" w:right="3400"/>
      <w:jc w:val="center"/>
    </w:pPr>
    <w:rPr>
      <w:b/>
    </w:rPr>
  </w:style>
  <w:style w:type="paragraph" w:customStyle="1" w:styleId="EntText">
    <w:name w:val="EntText"/>
    <w:basedOn w:val="Normal"/>
    <w:rsid w:val="00382B7D"/>
    <w:pPr>
      <w:spacing w:line="360" w:lineRule="auto"/>
      <w:jc w:val="left"/>
    </w:pPr>
  </w:style>
  <w:style w:type="paragraph" w:customStyle="1" w:styleId="pj">
    <w:name w:val="p.j."/>
    <w:basedOn w:val="Normal"/>
    <w:link w:val="pjChar"/>
    <w:rsid w:val="00382B7D"/>
    <w:pPr>
      <w:spacing w:before="1200"/>
      <w:ind w:left="1440" w:hanging="1440"/>
      <w:jc w:val="left"/>
    </w:pPr>
  </w:style>
  <w:style w:type="character" w:customStyle="1" w:styleId="pjChar">
    <w:name w:val="p.j. Char"/>
    <w:basedOn w:val="TechnicalBlockChar"/>
    <w:link w:val="pj"/>
    <w:rsid w:val="00382B7D"/>
    <w:rPr>
      <w:rFonts w:ascii="Times New Roman" w:hAnsi="Times New Roman" w:cs="Times New Roman"/>
      <w:sz w:val="24"/>
    </w:rPr>
  </w:style>
  <w:style w:type="paragraph" w:customStyle="1" w:styleId="HeaderCouncil">
    <w:name w:val="Header Council"/>
    <w:basedOn w:val="Normal"/>
    <w:link w:val="HeaderCouncilChar"/>
    <w:rsid w:val="00382B7D"/>
    <w:pPr>
      <w:spacing w:before="0" w:after="0"/>
    </w:pPr>
    <w:rPr>
      <w:sz w:val="2"/>
    </w:rPr>
  </w:style>
  <w:style w:type="character" w:customStyle="1" w:styleId="HeaderCouncilChar">
    <w:name w:val="Header Council Char"/>
    <w:basedOn w:val="pjChar"/>
    <w:link w:val="HeaderCouncil"/>
    <w:rsid w:val="00382B7D"/>
    <w:rPr>
      <w:rFonts w:ascii="Times New Roman" w:hAnsi="Times New Roman" w:cs="Times New Roman"/>
      <w:sz w:val="2"/>
    </w:rPr>
  </w:style>
  <w:style w:type="paragraph" w:customStyle="1" w:styleId="HeaderCouncilLarge">
    <w:name w:val="Header Council Large"/>
    <w:basedOn w:val="Normal"/>
    <w:link w:val="HeaderCouncilLargeChar"/>
    <w:rsid w:val="00382B7D"/>
    <w:pPr>
      <w:spacing w:before="0" w:after="440"/>
    </w:pPr>
    <w:rPr>
      <w:sz w:val="2"/>
    </w:rPr>
  </w:style>
  <w:style w:type="character" w:customStyle="1" w:styleId="HeaderCouncilLargeChar">
    <w:name w:val="Header Council Large Char"/>
    <w:basedOn w:val="pjChar"/>
    <w:link w:val="HeaderCouncilLarge"/>
    <w:rsid w:val="00382B7D"/>
    <w:rPr>
      <w:rFonts w:ascii="Times New Roman" w:hAnsi="Times New Roman" w:cs="Times New Roman"/>
      <w:sz w:val="2"/>
    </w:rPr>
  </w:style>
  <w:style w:type="paragraph" w:customStyle="1" w:styleId="FooterCouncil">
    <w:name w:val="Footer Council"/>
    <w:basedOn w:val="Normal"/>
    <w:link w:val="FooterCouncilChar"/>
    <w:rsid w:val="00382B7D"/>
    <w:pPr>
      <w:spacing w:before="0" w:after="0"/>
    </w:pPr>
    <w:rPr>
      <w:sz w:val="2"/>
    </w:rPr>
  </w:style>
  <w:style w:type="character" w:customStyle="1" w:styleId="FooterCouncilChar">
    <w:name w:val="Footer Council Char"/>
    <w:basedOn w:val="pjChar"/>
    <w:link w:val="FooterCouncil"/>
    <w:rsid w:val="00382B7D"/>
    <w:rPr>
      <w:rFonts w:ascii="Times New Roman" w:hAnsi="Times New Roman" w:cs="Times New Roman"/>
      <w:sz w:val="2"/>
    </w:rPr>
  </w:style>
  <w:style w:type="paragraph" w:customStyle="1" w:styleId="FooterText">
    <w:name w:val="Footer Text"/>
    <w:basedOn w:val="Normal"/>
    <w:rsid w:val="00382B7D"/>
    <w:pPr>
      <w:spacing w:before="0" w:after="0"/>
      <w:jc w:val="left"/>
    </w:pPr>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27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AD76B-0DAD-4140-9D5E-59E9A5596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19</TotalTime>
  <Pages>4</Pages>
  <Words>2800</Words>
  <Characters>12969</Characters>
  <Application>Microsoft Office Word</Application>
  <DocSecurity>0</DocSecurity>
  <Lines>270</Lines>
  <Paragraphs>179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LUKAC Ivan (MOVE)</dc:creator>
  <cp:lastModifiedBy>RADU Raluca Stefania</cp:lastModifiedBy>
  <cp:revision>4</cp:revision>
  <cp:lastPrinted>2016-11-29T10:18:00Z</cp:lastPrinted>
  <dcterms:created xsi:type="dcterms:W3CDTF">2017-02-02T10:24:00Z</dcterms:created>
  <dcterms:modified xsi:type="dcterms:W3CDTF">2017-02-02T10:44:00Z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DocuWrite 3.9.1, Build 20161216</vt:lpwstr>
  </property>
  <property fmtid="{D5CDD505-2E9C-101B-9397-08002B2CF9AE}" pid="6" name="Created using">
    <vt:lpwstr>DocuWrite 3.9.1, Build 20161216</vt:lpwstr>
  </property>
  <property fmtid="{D5CDD505-2E9C-101B-9397-08002B2CF9AE}" pid="7" name="First annex">
    <vt:lpwstr>1</vt:lpwstr>
  </property>
  <property fmtid="{D5CDD505-2E9C-101B-9397-08002B2CF9AE}" pid="8" name="Last annex">
    <vt:lpwstr>1</vt:lpwstr>
  </property>
  <property fmtid="{D5CDD505-2E9C-101B-9397-08002B2CF9AE}" pid="9" name="Part">
    <vt:lpwstr>1</vt:lpwstr>
  </property>
  <property fmtid="{D5CDD505-2E9C-101B-9397-08002B2CF9AE}" pid="10" name="Total parts">
    <vt:lpwstr>1</vt:lpwstr>
  </property>
  <property fmtid="{D5CDD505-2E9C-101B-9397-08002B2CF9AE}" pid="11" name="LWTemplateID">
    <vt:lpwstr>SG-017</vt:lpwstr>
  </property>
  <property fmtid="{D5CDD505-2E9C-101B-9397-08002B2CF9AE}" pid="12" name="DQCStatus">
    <vt:lpwstr>Green (DQC version 03)</vt:lpwstr>
  </property>
</Properties>
</file>