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13EA" w14:textId="77777777" w:rsidR="0036766D" w:rsidRDefault="00FC73F4" w:rsidP="00DE27AF">
      <w:pPr>
        <w:spacing w:before="0" w:after="0"/>
        <w:ind w:left="-720" w:right="341"/>
        <w:jc w:val="left"/>
        <w:rPr>
          <w:b/>
          <w:i/>
        </w:rPr>
      </w:pPr>
      <w:r w:rsidRPr="00FC73F4">
        <w:rPr>
          <w:b/>
          <w:bCs/>
          <w:iCs/>
        </w:rPr>
        <w:t>DIRECŢIA TRANSPORT RUTIER</w:t>
      </w:r>
      <w:r w:rsidRPr="003A5BA2">
        <w:rPr>
          <w:b/>
          <w:bCs/>
          <w:i/>
          <w:iCs/>
          <w:lang w:val="pt-BR"/>
        </w:rPr>
        <w:t xml:space="preserve">                                                           </w:t>
      </w:r>
      <w:r w:rsidR="00440F01">
        <w:rPr>
          <w:b/>
          <w:i/>
        </w:rPr>
        <w:t xml:space="preserve">  </w:t>
      </w:r>
      <w:r w:rsidR="00440F01">
        <w:rPr>
          <w:b/>
          <w:i/>
        </w:rPr>
        <w:tab/>
      </w:r>
      <w:r w:rsidR="00440F01">
        <w:rPr>
          <w:b/>
          <w:i/>
        </w:rPr>
        <w:tab/>
      </w:r>
      <w:r w:rsidR="00DE27AF">
        <w:rPr>
          <w:b/>
          <w:i/>
        </w:rPr>
        <w:tab/>
      </w:r>
      <w:r w:rsidR="00DE27AF">
        <w:rPr>
          <w:b/>
          <w:i/>
        </w:rPr>
        <w:tab/>
      </w:r>
      <w:r w:rsidR="00DE27AF">
        <w:rPr>
          <w:b/>
          <w:i/>
        </w:rPr>
        <w:tab/>
      </w:r>
      <w:r w:rsidR="00DE27AF">
        <w:rPr>
          <w:b/>
          <w:i/>
        </w:rPr>
        <w:tab/>
      </w:r>
      <w:r w:rsidR="00440F01">
        <w:rPr>
          <w:b/>
          <w:i/>
        </w:rPr>
        <w:tab/>
      </w:r>
      <w:r w:rsidR="00440F01">
        <w:rPr>
          <w:b/>
          <w:i/>
        </w:rPr>
        <w:tab/>
      </w:r>
      <w:r w:rsidR="00440F01">
        <w:rPr>
          <w:b/>
          <w:i/>
        </w:rPr>
        <w:tab/>
      </w:r>
      <w:r w:rsidR="00440F01">
        <w:rPr>
          <w:b/>
          <w:i/>
        </w:rPr>
        <w:tab/>
      </w:r>
      <w:r w:rsidR="00440F01">
        <w:rPr>
          <w:b/>
          <w:i/>
        </w:rPr>
        <w:tab/>
      </w:r>
      <w:r w:rsidR="00440F01">
        <w:rPr>
          <w:b/>
          <w:i/>
        </w:rPr>
        <w:tab/>
      </w:r>
      <w:r w:rsidR="00440F01">
        <w:rPr>
          <w:b/>
          <w:i/>
        </w:rPr>
        <w:tab/>
      </w:r>
      <w:r w:rsidR="00753BE3">
        <w:rPr>
          <w:b/>
          <w:i/>
        </w:rPr>
        <w:tab/>
      </w:r>
      <w:r w:rsidR="00753BE3">
        <w:rPr>
          <w:b/>
          <w:i/>
        </w:rPr>
        <w:tab/>
      </w:r>
      <w:r w:rsidR="00753BE3">
        <w:rPr>
          <w:b/>
          <w:i/>
        </w:rPr>
        <w:tab/>
      </w:r>
      <w:r w:rsidR="00753BE3">
        <w:rPr>
          <w:b/>
          <w:i/>
        </w:rPr>
        <w:tab/>
      </w:r>
      <w:r w:rsidR="00753BE3">
        <w:rPr>
          <w:b/>
          <w:i/>
        </w:rPr>
        <w:tab/>
      </w:r>
      <w:r>
        <w:rPr>
          <w:b/>
          <w:i/>
        </w:rPr>
        <w:tab/>
      </w:r>
      <w:r>
        <w:rPr>
          <w:b/>
          <w:i/>
        </w:rPr>
        <w:tab/>
      </w:r>
      <w:r w:rsidR="00DE27AF">
        <w:rPr>
          <w:b/>
          <w:i/>
        </w:rPr>
        <w:tab/>
        <w:t xml:space="preserve">                                                     </w:t>
      </w:r>
    </w:p>
    <w:p w14:paraId="1CEA5AD1" w14:textId="3F3398A7" w:rsidR="009704D7" w:rsidRPr="006C5ABF" w:rsidRDefault="00DE27AF" w:rsidP="00DE27AF">
      <w:pPr>
        <w:spacing w:before="0" w:after="0"/>
        <w:ind w:left="-720" w:right="341"/>
        <w:jc w:val="left"/>
        <w:rPr>
          <w:b/>
        </w:rPr>
      </w:pPr>
      <w:r>
        <w:rPr>
          <w:b/>
          <w:i/>
        </w:rPr>
        <w:t xml:space="preserve">                                                               </w:t>
      </w:r>
      <w:r w:rsidR="0036766D">
        <w:rPr>
          <w:b/>
          <w:i/>
        </w:rPr>
        <w:tab/>
      </w:r>
      <w:r w:rsidR="0036766D">
        <w:rPr>
          <w:b/>
          <w:i/>
        </w:rPr>
        <w:tab/>
      </w:r>
      <w:r w:rsidR="0036766D">
        <w:rPr>
          <w:b/>
          <w:i/>
        </w:rPr>
        <w:tab/>
      </w:r>
      <w:r w:rsidR="0036766D">
        <w:rPr>
          <w:b/>
          <w:i/>
        </w:rPr>
        <w:tab/>
      </w:r>
      <w:r w:rsidR="0036766D">
        <w:rPr>
          <w:b/>
          <w:i/>
        </w:rPr>
        <w:tab/>
        <w:t xml:space="preserve">        </w:t>
      </w:r>
      <w:r w:rsidRPr="006C5ABF">
        <w:rPr>
          <w:b/>
        </w:rPr>
        <w:t>Nr</w:t>
      </w:r>
      <w:r w:rsidR="00130156">
        <w:rPr>
          <w:b/>
        </w:rPr>
        <w:t>.</w:t>
      </w:r>
    </w:p>
    <w:p w14:paraId="6C1A1C3E" w14:textId="30E8805D" w:rsidR="009E6F4A" w:rsidRDefault="009704D7" w:rsidP="00DE27AF">
      <w:pPr>
        <w:spacing w:before="0" w:after="0"/>
        <w:ind w:left="-720" w:right="341"/>
        <w:jc w:val="right"/>
        <w:rPr>
          <w:b/>
        </w:rPr>
      </w:pPr>
      <w:r w:rsidRPr="006C5ABF">
        <w:rPr>
          <w:b/>
        </w:rPr>
        <w:t>Data:</w:t>
      </w:r>
      <w:r w:rsidR="0046350C">
        <w:rPr>
          <w:b/>
        </w:rPr>
        <w:t>23</w:t>
      </w:r>
      <w:r w:rsidR="00705D0E">
        <w:rPr>
          <w:b/>
        </w:rPr>
        <w:t>.</w:t>
      </w:r>
      <w:r w:rsidR="0046350C">
        <w:rPr>
          <w:b/>
        </w:rPr>
        <w:t>04</w:t>
      </w:r>
      <w:r w:rsidR="009A72A3">
        <w:rPr>
          <w:b/>
        </w:rPr>
        <w:t>.</w:t>
      </w:r>
      <w:r w:rsidRPr="006C5ABF">
        <w:rPr>
          <w:b/>
        </w:rPr>
        <w:t>20</w:t>
      </w:r>
      <w:r w:rsidR="00404557">
        <w:rPr>
          <w:b/>
        </w:rPr>
        <w:t>2</w:t>
      </w:r>
      <w:r w:rsidR="0046350C">
        <w:rPr>
          <w:b/>
        </w:rPr>
        <w:t>5</w:t>
      </w:r>
    </w:p>
    <w:p w14:paraId="051FF301" w14:textId="77777777" w:rsidR="00D95C77" w:rsidRDefault="00D95C77" w:rsidP="00DE27AF">
      <w:pPr>
        <w:spacing w:before="0" w:after="0"/>
        <w:ind w:left="-720" w:right="341"/>
        <w:jc w:val="right"/>
        <w:rPr>
          <w:b/>
        </w:rPr>
      </w:pPr>
    </w:p>
    <w:p w14:paraId="7BEB6D9A" w14:textId="77777777" w:rsidR="00FC40EC" w:rsidRDefault="00FC40EC" w:rsidP="00DE27AF">
      <w:pPr>
        <w:spacing w:before="0" w:after="0"/>
        <w:ind w:left="-720" w:right="341"/>
        <w:jc w:val="right"/>
        <w:rPr>
          <w:b/>
        </w:rPr>
      </w:pPr>
    </w:p>
    <w:p w14:paraId="2C7FD9C9" w14:textId="78D69311" w:rsidR="00A32162" w:rsidRPr="00A07880" w:rsidRDefault="00263300" w:rsidP="00DE27AF">
      <w:pPr>
        <w:spacing w:before="0" w:after="0"/>
        <w:ind w:left="-720" w:right="341"/>
        <w:jc w:val="right"/>
        <w:rPr>
          <w:b/>
        </w:rPr>
      </w:pPr>
      <w:r w:rsidRPr="00263300">
        <w:rPr>
          <w:b/>
        </w:rPr>
        <w:t xml:space="preserve">  </w:t>
      </w:r>
      <w:r w:rsidR="00866224">
        <w:rPr>
          <w:b/>
        </w:rPr>
        <w:t xml:space="preserve"> </w:t>
      </w:r>
    </w:p>
    <w:p w14:paraId="22684EBC" w14:textId="77777777" w:rsidR="0046350C" w:rsidRDefault="0046350C" w:rsidP="0046350C">
      <w:pPr>
        <w:spacing w:before="0" w:after="120"/>
        <w:ind w:right="341"/>
        <w:jc w:val="center"/>
        <w:rPr>
          <w:rFonts w:eastAsia="MS Mincho" w:cs="Times New Roman"/>
          <w:b/>
          <w:color w:val="auto"/>
        </w:rPr>
      </w:pPr>
      <w:r w:rsidRPr="0046350C">
        <w:rPr>
          <w:rFonts w:eastAsia="MS Mincho" w:cs="Times New Roman"/>
          <w:b/>
          <w:color w:val="auto"/>
        </w:rPr>
        <w:t>REFERAT DE APROBARE</w:t>
      </w:r>
    </w:p>
    <w:p w14:paraId="0F1CC4E6" w14:textId="7C75686A" w:rsidR="003A5BA2" w:rsidRDefault="0046350C" w:rsidP="0046350C">
      <w:pPr>
        <w:spacing w:before="0" w:after="120"/>
        <w:ind w:right="341"/>
        <w:jc w:val="center"/>
        <w:rPr>
          <w:rFonts w:eastAsia="MS Mincho" w:cs="Times New Roman"/>
          <w:b/>
          <w:color w:val="auto"/>
        </w:rPr>
      </w:pPr>
      <w:r w:rsidRPr="0046350C">
        <w:rPr>
          <w:rFonts w:eastAsia="MS Mincho" w:cs="Times New Roman"/>
          <w:b/>
          <w:color w:val="auto"/>
        </w:rPr>
        <w:t xml:space="preserve">a </w:t>
      </w:r>
      <w:bookmarkStart w:id="0" w:name="_Hlk196297064"/>
      <w:r w:rsidRPr="0046350C">
        <w:rPr>
          <w:rFonts w:eastAsia="MS Mincho" w:cs="Times New Roman"/>
          <w:b/>
          <w:color w:val="auto"/>
        </w:rPr>
        <w:t>Ordinului ministrului transporturilor și infrastructurii</w:t>
      </w:r>
      <w:r>
        <w:rPr>
          <w:rFonts w:eastAsia="MS Mincho" w:cs="Times New Roman"/>
          <w:b/>
          <w:color w:val="auto"/>
        </w:rPr>
        <w:t xml:space="preserve"> </w:t>
      </w:r>
      <w:r w:rsidRPr="0046350C">
        <w:rPr>
          <w:rFonts w:eastAsia="MS Mincho" w:cs="Times New Roman"/>
          <w:b/>
          <w:color w:val="auto"/>
        </w:rPr>
        <w:t>pentru modificarea și completarea Reglementărilor privind condițiile de instalare, reparare și inspecție a tahografelor utilizate în transporturile rutiere ori a limitatoarelor de viteză care echipează autovehiculele, precum și autorizarea operatorilor economici care desfășoară astfel de activități – RNTR 8, aprobate prin Ordinul ministrului transporturilor și infrastructurii nr.</w:t>
      </w:r>
      <w:r>
        <w:rPr>
          <w:rFonts w:eastAsia="MS Mincho" w:cs="Times New Roman"/>
          <w:b/>
          <w:color w:val="auto"/>
        </w:rPr>
        <w:t xml:space="preserve"> </w:t>
      </w:r>
      <w:r w:rsidRPr="0046350C">
        <w:rPr>
          <w:rFonts w:eastAsia="MS Mincho" w:cs="Times New Roman"/>
          <w:b/>
          <w:color w:val="auto"/>
        </w:rPr>
        <w:t>3.850/2024</w:t>
      </w:r>
      <w:bookmarkEnd w:id="0"/>
    </w:p>
    <w:p w14:paraId="2670CCC8" w14:textId="77777777" w:rsidR="0046350C" w:rsidRPr="0046350C" w:rsidRDefault="0046350C" w:rsidP="0046350C">
      <w:pPr>
        <w:spacing w:before="0" w:after="120"/>
        <w:ind w:right="341"/>
        <w:jc w:val="center"/>
        <w:rPr>
          <w:rFonts w:eastAsia="MS Mincho" w:cs="Times New Roman"/>
          <w:b/>
          <w:color w:val="auto"/>
        </w:rPr>
      </w:pPr>
    </w:p>
    <w:p w14:paraId="1FF73FFA"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Ordinul ministrului transporturilor și infrastructurii nr. 3.850/2024 pentru aprobarea Reglementărilor privind condițiile de instalare, reparare și inspecție a tahografelor utilizate în transporturile rutiere ori a limitatoarelor de viteză care echipează autovehiculele, precum și autorizarea operatorilor economici care desfășoară astfel de activități – RNTR 8 reglementează procedura și cerințele de efectuare a activităților de instalare, reparare și inspecție a tahografelor utilizate în transporturile rutiere ori a limitatoarelor de viteză care echipează autovehiculele, precum și autorizarea operatorilor economici care desfășoară astfel de activități, pentru punerea în aplicare a HG nr. 899/2003 privind omologarea de tip a tahografelor, a senzorilor de mișcare, a modelelor de foaie de înregistrare sau de card de tahograf, precum și autorizarea operatorilor economici care desfășoară activități de instalare, reparare sau inspecție a tahografelor utilizate în transporturile rutiere ori a limitatoarelor de viteză, cu modificările și completările ulterioare.</w:t>
      </w:r>
    </w:p>
    <w:p w14:paraId="6B5E1DEE"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De la aprobarea OMTI nr. 2.133/2005 a fost adoptată HG nr. 1.534/2024 pentru modificarea Hotărârii Guvernului nr. 899/2003 privind omologarea de tip a tahografelor, a senzorilor de mişcare, a modelelor de foaie de înregistrare sau de card de tahograf, precum şi autorizarea operatorilor economici care desfăşoară activităţi de instalare, reparare sau inspecţie a tahografelor utilizate în transporturile rutiere ori a limitatoarelor de viteză, fiind necesară actualizarea prevederilor reglementărilor RNTR 8.</w:t>
      </w:r>
    </w:p>
    <w:p w14:paraId="14AF1193"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De asemenea, având în vedere discuțiile cu partenerii sociali referitoare la îmbunătățirea/simplificarea/clarificarea prevederilor RNTR 8, este necesară modificarea în consecință a unora dintre prevederilor reglementărilor RNTR 8.</w:t>
      </w:r>
    </w:p>
    <w:p w14:paraId="1B41ED47"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 xml:space="preserve">Modificările prevăzute în actul normativ vizează în principal: </w:t>
      </w:r>
    </w:p>
    <w:p w14:paraId="4B386B19"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 eliminarea prevederilor care se regăsesc în HG nr. 899/2003, cu modificările și completările ulterioare, pentru eliminarea paralelismului legislativ;</w:t>
      </w:r>
    </w:p>
    <w:p w14:paraId="4E7181A9"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 xml:space="preserve">- actualizarea prevederilor reglementărilor RNTR 8 în raport cu HG nr. 1.534/2024, în ceea ce privește certificarea tahografelor noi și reparate (categorie în care sunt incuse și tahografele reintegrate); </w:t>
      </w:r>
    </w:p>
    <w:p w14:paraId="73881997"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lastRenderedPageBreak/>
        <w:t xml:space="preserve">- actualizarea prevederilor reglementărilor RNTR 8 în raport cu HG nr. 1.534/2024, în ceea ce privește atestarea personalului care efectuează inspecțiile periodice ale tahografelor; </w:t>
      </w:r>
    </w:p>
    <w:p w14:paraId="474AB6F5"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 extinderea activităților efectuate cu atelierele mobile autorizate și simplificarea cerințelor referitoare la autorizarea atelierelor mobile;</w:t>
      </w:r>
    </w:p>
    <w:p w14:paraId="1859ADA6"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 xml:space="preserve">- precizarea principiilor de stabilire a frecvenței reinspecțiilor efectuate în activitatea de supraveghere a operatorilor economici autorizați; </w:t>
      </w:r>
    </w:p>
    <w:p w14:paraId="43676836"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 extinderea posibilității de emitere a declarațiilor de limitare a vitezei și de către operatorii economici autorizați în conformitate cu reglementările RNTR 9, aprobate prin OMTCT nr. 2.1312/2005, cu modificările și completările ulterioare;</w:t>
      </w:r>
    </w:p>
    <w:p w14:paraId="7115AE37"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 actualizarea unor cerințe privind dotarea atelierelor;</w:t>
      </w:r>
    </w:p>
    <w:p w14:paraId="67C96293"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 simplificarea unor prevederi administrative;</w:t>
      </w:r>
    </w:p>
    <w:p w14:paraId="33D77F24"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 eliminarea valabilității limitate a autorizației tehnice, în baza efectuării unor audituri periodice (la 2 ani), cu prevederea unui termen tranzitoriu (1 mai 2026);</w:t>
      </w:r>
    </w:p>
    <w:p w14:paraId="6D354478"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 xml:space="preserve">- clarificarea noțiunilor de generație și versiune de tahograf; </w:t>
      </w:r>
    </w:p>
    <w:p w14:paraId="2F9098DF"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 completarea cerințelor referitoare la activitatea de instruire a personalului operatorilor economici;</w:t>
      </w:r>
    </w:p>
    <w:p w14:paraId="59455E6E"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 clarificarea prevederilor referitoare la supravegherea personalului și a operatorilor economici care instalează, repară sau inspectează tahografe ori limitatoare de viteză, în ceea ce privește  procedura de supraveghere, situațiile în care este necesară efectuarea unei noi inspecții, situațiile ce pot conduce la anularea inspecției, precum și situațiile ce pot conduce la suspendarea/anularea autorizației tehnice a operatorilor economici, respectiv suspendarea/anularea atestării personalului ce efectuează inspecția;</w:t>
      </w:r>
    </w:p>
    <w:p w14:paraId="55447D5F" w14:textId="77777777" w:rsidR="0046350C" w:rsidRP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 clarificarea procedurii de inspecție a tahografelor inteligente.</w:t>
      </w:r>
    </w:p>
    <w:p w14:paraId="42B9C989" w14:textId="3259DD8A" w:rsidR="0046350C" w:rsidRPr="0046350C" w:rsidRDefault="0046350C" w:rsidP="0046350C">
      <w:pPr>
        <w:spacing w:before="0" w:after="120"/>
        <w:ind w:left="-720" w:right="341"/>
        <w:rPr>
          <w:rFonts w:eastAsia="MS Mincho" w:cs="Times New Roman"/>
          <w:bCs/>
          <w:color w:val="auto"/>
        </w:rPr>
      </w:pPr>
      <w:r>
        <w:rPr>
          <w:rFonts w:eastAsia="MS Mincho" w:cs="Times New Roman"/>
          <w:bCs/>
          <w:color w:val="auto"/>
        </w:rPr>
        <w:t xml:space="preserve">Este important de </w:t>
      </w:r>
      <w:r w:rsidRPr="0046350C">
        <w:rPr>
          <w:rFonts w:eastAsia="MS Mincho" w:cs="Times New Roman"/>
          <w:bCs/>
          <w:color w:val="auto"/>
        </w:rPr>
        <w:t>preciz</w:t>
      </w:r>
      <w:r>
        <w:rPr>
          <w:rFonts w:eastAsia="MS Mincho" w:cs="Times New Roman"/>
          <w:bCs/>
          <w:color w:val="auto"/>
        </w:rPr>
        <w:t>at</w:t>
      </w:r>
      <w:r w:rsidRPr="0046350C">
        <w:rPr>
          <w:rFonts w:eastAsia="MS Mincho" w:cs="Times New Roman"/>
          <w:bCs/>
          <w:color w:val="auto"/>
        </w:rPr>
        <w:t xml:space="preserve"> faptul că pentru modificările ce au efect asupra dotării atelierelor a fost propus un termen tranzitoriu de cca. 1 an</w:t>
      </w:r>
      <w:r>
        <w:rPr>
          <w:rFonts w:eastAsia="MS Mincho" w:cs="Times New Roman"/>
          <w:bCs/>
          <w:color w:val="auto"/>
        </w:rPr>
        <w:t>, respectiv</w:t>
      </w:r>
      <w:r w:rsidRPr="0046350C">
        <w:rPr>
          <w:rFonts w:eastAsia="MS Mincho" w:cs="Times New Roman"/>
          <w:bCs/>
          <w:color w:val="auto"/>
        </w:rPr>
        <w:t xml:space="preserve"> 1 mai 2026.</w:t>
      </w:r>
    </w:p>
    <w:p w14:paraId="330DBE8C" w14:textId="77777777" w:rsidR="0046350C" w:rsidRDefault="0046350C" w:rsidP="0046350C">
      <w:pPr>
        <w:spacing w:before="0" w:after="120"/>
        <w:ind w:left="-720" w:right="341"/>
        <w:rPr>
          <w:rFonts w:eastAsia="MS Mincho" w:cs="Times New Roman"/>
          <w:bCs/>
          <w:color w:val="auto"/>
        </w:rPr>
      </w:pPr>
      <w:r w:rsidRPr="0046350C">
        <w:rPr>
          <w:rFonts w:eastAsia="MS Mincho" w:cs="Times New Roman"/>
          <w:bCs/>
          <w:color w:val="auto"/>
        </w:rPr>
        <w:t>Modificarea actului normativ nu afectează punerea în aplicare a legislației UE în domeniu.</w:t>
      </w:r>
    </w:p>
    <w:p w14:paraId="56162A2A" w14:textId="54E0187D" w:rsidR="000051C2" w:rsidRPr="003A5BA2" w:rsidRDefault="003A5BA2" w:rsidP="0046350C">
      <w:pPr>
        <w:spacing w:before="0" w:after="120"/>
        <w:ind w:left="-720" w:right="341"/>
        <w:rPr>
          <w:rFonts w:eastAsia="MS Mincho" w:cs="Times New Roman"/>
          <w:i/>
          <w:color w:val="auto"/>
        </w:rPr>
      </w:pPr>
      <w:r w:rsidRPr="003A5BA2">
        <w:rPr>
          <w:rFonts w:eastAsia="MS Mincho" w:cs="Times New Roman"/>
          <w:color w:val="auto"/>
        </w:rPr>
        <w:t>Având în vedere considerentele de mai sus, a fost elaborat</w:t>
      </w:r>
      <w:r>
        <w:rPr>
          <w:rFonts w:eastAsia="MS Mincho" w:cs="Times New Roman"/>
          <w:color w:val="auto"/>
        </w:rPr>
        <w:t xml:space="preserve"> </w:t>
      </w:r>
      <w:r w:rsidRPr="003A5BA2">
        <w:rPr>
          <w:rFonts w:eastAsia="MS Mincho" w:cs="Times New Roman"/>
          <w:color w:val="auto"/>
        </w:rPr>
        <w:t>proiect</w:t>
      </w:r>
      <w:r>
        <w:rPr>
          <w:rFonts w:eastAsia="MS Mincho" w:cs="Times New Roman"/>
          <w:color w:val="auto"/>
        </w:rPr>
        <w:t>ul alăturat</w:t>
      </w:r>
      <w:r w:rsidRPr="003A5BA2">
        <w:rPr>
          <w:rFonts w:eastAsia="MS Mincho" w:cs="Times New Roman"/>
          <w:color w:val="auto"/>
        </w:rPr>
        <w:t xml:space="preserve"> de </w:t>
      </w:r>
      <w:r w:rsidRPr="003A5BA2">
        <w:rPr>
          <w:rFonts w:eastAsia="MS Mincho" w:cs="Times New Roman"/>
          <w:i/>
          <w:iCs/>
          <w:color w:val="auto"/>
        </w:rPr>
        <w:t xml:space="preserve">Ordin al ministrului transporturilor și infrastructurii </w:t>
      </w:r>
      <w:r w:rsidR="0046350C" w:rsidRPr="0046350C">
        <w:rPr>
          <w:rFonts w:eastAsia="MS Mincho" w:cs="Times New Roman"/>
          <w:i/>
          <w:iCs/>
          <w:color w:val="auto"/>
        </w:rPr>
        <w:t>pentru modificarea și completarea Reglementărilor privind condițiile de instalare, reparare și inspecție a tahografelor utilizate în transporturile rutiere ori a limitatoarelor de viteză care echipează autovehiculele, precum și autorizarea operatorilor economici care desfășoară astfel de activități – RNTR 8, aprobate prin Ordinul ministrului transporturilor și infrastructurii nr.</w:t>
      </w:r>
      <w:r w:rsidR="0046350C">
        <w:rPr>
          <w:rFonts w:eastAsia="MS Mincho" w:cs="Times New Roman"/>
          <w:i/>
          <w:iCs/>
          <w:color w:val="auto"/>
        </w:rPr>
        <w:t xml:space="preserve"> </w:t>
      </w:r>
      <w:r w:rsidR="0046350C" w:rsidRPr="0046350C">
        <w:rPr>
          <w:rFonts w:eastAsia="MS Mincho" w:cs="Times New Roman"/>
          <w:i/>
          <w:iCs/>
          <w:color w:val="auto"/>
        </w:rPr>
        <w:t>3.850/2024</w:t>
      </w:r>
      <w:r w:rsidRPr="003A5BA2">
        <w:rPr>
          <w:rFonts w:eastAsia="MS Mincho" w:cs="Times New Roman"/>
          <w:color w:val="auto"/>
        </w:rPr>
        <w:t>, pe care îl supunem spre aprobare.</w:t>
      </w:r>
    </w:p>
    <w:p w14:paraId="45C9F335" w14:textId="09C3A463" w:rsidR="009E6F4A" w:rsidRPr="001519EB" w:rsidRDefault="00474FAC" w:rsidP="00DE27AF">
      <w:pPr>
        <w:spacing w:after="0"/>
        <w:ind w:left="-720" w:right="341"/>
        <w:rPr>
          <w:b/>
        </w:rPr>
      </w:pPr>
      <w:r w:rsidRPr="006C5ABF">
        <w:rPr>
          <w:b/>
        </w:rPr>
        <w:t xml:space="preserve">Cu </w:t>
      </w:r>
      <w:r>
        <w:rPr>
          <w:b/>
        </w:rPr>
        <w:t>respect</w:t>
      </w:r>
      <w:r w:rsidRPr="006C5ABF">
        <w:rPr>
          <w:b/>
        </w:rPr>
        <w:t>,</w:t>
      </w:r>
    </w:p>
    <w:p w14:paraId="49060633" w14:textId="77777777" w:rsidR="00E10631" w:rsidRDefault="00E10631" w:rsidP="00DE27AF">
      <w:pPr>
        <w:spacing w:before="0" w:after="0"/>
        <w:ind w:left="-720" w:right="341"/>
        <w:jc w:val="center"/>
        <w:rPr>
          <w:b/>
        </w:rPr>
      </w:pPr>
    </w:p>
    <w:p w14:paraId="737FCF77" w14:textId="3C4B536B" w:rsidR="009704D7" w:rsidRDefault="009704D7" w:rsidP="00DE27AF">
      <w:pPr>
        <w:spacing w:before="0" w:after="0"/>
        <w:ind w:left="-720" w:right="341"/>
        <w:jc w:val="center"/>
        <w:rPr>
          <w:b/>
        </w:rPr>
      </w:pPr>
      <w:r w:rsidRPr="0000256C">
        <w:rPr>
          <w:b/>
        </w:rPr>
        <w:t>DIRECTOR</w:t>
      </w:r>
      <w:r>
        <w:rPr>
          <w:b/>
        </w:rPr>
        <w:t xml:space="preserve"> </w:t>
      </w:r>
    </w:p>
    <w:p w14:paraId="2AB2D101" w14:textId="2908CD96" w:rsidR="00A32162" w:rsidRDefault="00220CF9" w:rsidP="00DE27AF">
      <w:pPr>
        <w:spacing w:before="0" w:after="0"/>
        <w:ind w:left="-720" w:right="341"/>
        <w:jc w:val="center"/>
        <w:rPr>
          <w:b/>
        </w:rPr>
      </w:pPr>
      <w:r>
        <w:rPr>
          <w:b/>
        </w:rPr>
        <w:t>Adriana</w:t>
      </w:r>
      <w:r w:rsidR="009704D7">
        <w:rPr>
          <w:b/>
        </w:rPr>
        <w:t xml:space="preserve"> KALAPIS</w:t>
      </w:r>
    </w:p>
    <w:p w14:paraId="05A0BE2F" w14:textId="77777777" w:rsidR="00240560" w:rsidRDefault="00240560" w:rsidP="00DE27AF">
      <w:pPr>
        <w:spacing w:before="0" w:after="0"/>
        <w:ind w:left="-720" w:right="341"/>
        <w:jc w:val="center"/>
        <w:rPr>
          <w:b/>
        </w:rPr>
      </w:pPr>
    </w:p>
    <w:p w14:paraId="02ACD124" w14:textId="77777777" w:rsidR="00240560" w:rsidRPr="00240560" w:rsidRDefault="00240560" w:rsidP="00DE27AF">
      <w:pPr>
        <w:spacing w:before="0" w:after="0"/>
        <w:ind w:left="-720" w:right="341"/>
        <w:jc w:val="center"/>
      </w:pPr>
    </w:p>
    <w:p w14:paraId="3AE0112B" w14:textId="3EDF3E85" w:rsidR="00240560" w:rsidRDefault="00240560" w:rsidP="00E10631">
      <w:pPr>
        <w:spacing w:before="0" w:after="0"/>
        <w:ind w:left="6480" w:right="341" w:firstLine="720"/>
        <w:rPr>
          <w:sz w:val="20"/>
        </w:rPr>
      </w:pPr>
      <w:r w:rsidRPr="00240560">
        <w:rPr>
          <w:sz w:val="20"/>
        </w:rPr>
        <w:t>Întocmit,</w:t>
      </w:r>
      <w:r w:rsidRPr="00240560">
        <w:rPr>
          <w:sz w:val="20"/>
        </w:rPr>
        <w:br/>
        <w:t xml:space="preserve">        </w:t>
      </w:r>
      <w:r w:rsidR="00E10631">
        <w:rPr>
          <w:sz w:val="20"/>
        </w:rPr>
        <w:t xml:space="preserve">  </w:t>
      </w:r>
      <w:r w:rsidRPr="00240560">
        <w:rPr>
          <w:sz w:val="20"/>
        </w:rPr>
        <w:t>Victor Tache</w:t>
      </w:r>
    </w:p>
    <w:p w14:paraId="0728AF71" w14:textId="77777777" w:rsidR="00E10631" w:rsidRPr="00240560" w:rsidRDefault="00E10631" w:rsidP="00E10631">
      <w:pPr>
        <w:spacing w:before="0" w:after="0"/>
        <w:ind w:left="6480" w:right="341" w:firstLine="720"/>
        <w:rPr>
          <w:sz w:val="20"/>
        </w:rPr>
      </w:pPr>
    </w:p>
    <w:sectPr w:rsidR="00E10631" w:rsidRPr="00240560" w:rsidSect="0036766D">
      <w:headerReference w:type="default" r:id="rId7"/>
      <w:footerReference w:type="default" r:id="rId8"/>
      <w:pgSz w:w="11906" w:h="16838" w:code="9"/>
      <w:pgMar w:top="1890" w:right="567" w:bottom="1134" w:left="2268" w:header="720" w:footer="4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7568F" w14:textId="77777777" w:rsidR="00BB4A19" w:rsidRDefault="00BB4A19" w:rsidP="009772BD">
      <w:r>
        <w:separator/>
      </w:r>
    </w:p>
  </w:endnote>
  <w:endnote w:type="continuationSeparator" w:id="0">
    <w:p w14:paraId="74F96E34" w14:textId="77777777" w:rsidR="00BB4A19" w:rsidRDefault="00BB4A19"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5FE5" w14:textId="77777777" w:rsidR="002328DD" w:rsidRPr="009772BD" w:rsidRDefault="002328DD" w:rsidP="009772BD">
    <w:pPr>
      <w:pStyle w:val="Footer1"/>
    </w:pPr>
    <w:r w:rsidRPr="009772BD">
      <w:t>Adresa de corespondență</w:t>
    </w:r>
  </w:p>
  <w:p w14:paraId="7292B2AC" w14:textId="6247D78C" w:rsidR="002328DD" w:rsidRPr="00220CF9" w:rsidRDefault="002328DD" w:rsidP="009772BD">
    <w:pPr>
      <w:pStyle w:val="Footer1"/>
      <w:rPr>
        <w:b/>
      </w:rPr>
    </w:pPr>
    <w:r w:rsidRPr="009772BD">
      <w:t xml:space="preserve">Tel: +4 021 xxx xxx Fax: +4 021 xxx xxx Email: </w:t>
    </w:r>
    <w:r w:rsidR="00220CF9" w:rsidRPr="00220CF9">
      <w:rPr>
        <w:b/>
      </w:rPr>
      <w:t>secretariat.dtr@mt.ro</w:t>
    </w:r>
  </w:p>
  <w:p w14:paraId="00DD7290" w14:textId="77777777" w:rsidR="002328DD" w:rsidRPr="009772BD" w:rsidRDefault="002328DD" w:rsidP="009772BD">
    <w:pPr>
      <w:pStyle w:val="Footer1"/>
    </w:pPr>
    <w:r w:rsidRPr="009772BD">
      <w:t>www.</w:t>
    </w:r>
    <w:r w:rsidR="00371A10">
      <w:t>mt.gov.</w:t>
    </w:r>
    <w:r w:rsidRPr="009772BD">
      <w:t>.ro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84CC" w14:textId="77777777" w:rsidR="00BB4A19" w:rsidRDefault="00BB4A19" w:rsidP="009772BD">
      <w:r>
        <w:separator/>
      </w:r>
    </w:p>
  </w:footnote>
  <w:footnote w:type="continuationSeparator" w:id="0">
    <w:p w14:paraId="4D234B0E" w14:textId="77777777" w:rsidR="00BB4A19" w:rsidRDefault="00BB4A19"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296" w14:textId="0DD04BE4" w:rsidR="00B50898" w:rsidRPr="00B50898" w:rsidRDefault="00493720" w:rsidP="00B50898">
    <w:pPr>
      <w:pStyle w:val="Antet"/>
      <w:rPr>
        <w:rFonts w:ascii="Trajan Pro" w:hAnsi="Trajan Pro"/>
        <w:color w:val="FF0000"/>
      </w:rPr>
    </w:pPr>
    <w:r w:rsidRPr="00493720">
      <w:rPr>
        <w:rFonts w:ascii="Trajan Pro" w:hAnsi="Trajan Pro"/>
        <w:noProof/>
        <w:color w:val="FF0000"/>
        <w:lang w:eastAsia="ro-RO"/>
      </w:rPr>
      <w:drawing>
        <wp:anchor distT="0" distB="0" distL="114300" distR="114300" simplePos="0" relativeHeight="251658240" behindDoc="1" locked="0" layoutInCell="1" allowOverlap="1" wp14:anchorId="0AFC179D" wp14:editId="13F58222">
          <wp:simplePos x="0" y="0"/>
          <wp:positionH relativeFrom="column">
            <wp:posOffset>-849630</wp:posOffset>
          </wp:positionH>
          <wp:positionV relativeFrom="paragraph">
            <wp:posOffset>-551815</wp:posOffset>
          </wp:positionV>
          <wp:extent cx="6338491" cy="1343025"/>
          <wp:effectExtent l="0" t="0" r="5715" b="0"/>
          <wp:wrapNone/>
          <wp:docPr id="1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38491" cy="1343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1ECD"/>
    <w:multiLevelType w:val="hybridMultilevel"/>
    <w:tmpl w:val="9E8A9C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C85624C"/>
    <w:multiLevelType w:val="hybridMultilevel"/>
    <w:tmpl w:val="A5E6D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214F1"/>
    <w:multiLevelType w:val="hybridMultilevel"/>
    <w:tmpl w:val="30EAD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89090">
    <w:abstractNumId w:val="1"/>
  </w:num>
  <w:num w:numId="2" w16cid:durableId="687020861">
    <w:abstractNumId w:val="2"/>
  </w:num>
  <w:num w:numId="3" w16cid:durableId="184995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1E56"/>
    <w:rsid w:val="00003FFC"/>
    <w:rsid w:val="000051C2"/>
    <w:rsid w:val="00026CF2"/>
    <w:rsid w:val="000305C9"/>
    <w:rsid w:val="00043D26"/>
    <w:rsid w:val="00046F0A"/>
    <w:rsid w:val="0005189C"/>
    <w:rsid w:val="000745D4"/>
    <w:rsid w:val="00092617"/>
    <w:rsid w:val="000B364E"/>
    <w:rsid w:val="000B3CB8"/>
    <w:rsid w:val="000B528C"/>
    <w:rsid w:val="000D01D7"/>
    <w:rsid w:val="000E04BD"/>
    <w:rsid w:val="000E44A0"/>
    <w:rsid w:val="000E58AE"/>
    <w:rsid w:val="000E7C1E"/>
    <w:rsid w:val="0010711D"/>
    <w:rsid w:val="001145FD"/>
    <w:rsid w:val="00117512"/>
    <w:rsid w:val="00120690"/>
    <w:rsid w:val="00120C28"/>
    <w:rsid w:val="0012699E"/>
    <w:rsid w:val="00130156"/>
    <w:rsid w:val="00145EF1"/>
    <w:rsid w:val="001466DC"/>
    <w:rsid w:val="001519EB"/>
    <w:rsid w:val="00153F97"/>
    <w:rsid w:val="001640AE"/>
    <w:rsid w:val="00164A50"/>
    <w:rsid w:val="00184FF7"/>
    <w:rsid w:val="00195A76"/>
    <w:rsid w:val="001A7CA0"/>
    <w:rsid w:val="001B4277"/>
    <w:rsid w:val="001C20C0"/>
    <w:rsid w:val="001E35C6"/>
    <w:rsid w:val="00204F32"/>
    <w:rsid w:val="00213B04"/>
    <w:rsid w:val="00217F05"/>
    <w:rsid w:val="00220CF9"/>
    <w:rsid w:val="00225420"/>
    <w:rsid w:val="002301DE"/>
    <w:rsid w:val="002328DD"/>
    <w:rsid w:val="002366EC"/>
    <w:rsid w:val="00240560"/>
    <w:rsid w:val="002467CB"/>
    <w:rsid w:val="00263300"/>
    <w:rsid w:val="0026481D"/>
    <w:rsid w:val="00276C3E"/>
    <w:rsid w:val="00287CC5"/>
    <w:rsid w:val="0029067A"/>
    <w:rsid w:val="0029724D"/>
    <w:rsid w:val="002B5548"/>
    <w:rsid w:val="002C2380"/>
    <w:rsid w:val="002E1DF4"/>
    <w:rsid w:val="002F128E"/>
    <w:rsid w:val="002F7EEC"/>
    <w:rsid w:val="0030334A"/>
    <w:rsid w:val="00305C46"/>
    <w:rsid w:val="00310DEF"/>
    <w:rsid w:val="00331752"/>
    <w:rsid w:val="0036766D"/>
    <w:rsid w:val="00371A10"/>
    <w:rsid w:val="00376BA2"/>
    <w:rsid w:val="00397F57"/>
    <w:rsid w:val="003A5BA2"/>
    <w:rsid w:val="003C0E59"/>
    <w:rsid w:val="00402476"/>
    <w:rsid w:val="0040453A"/>
    <w:rsid w:val="00404557"/>
    <w:rsid w:val="004225DE"/>
    <w:rsid w:val="00427B84"/>
    <w:rsid w:val="00430EF1"/>
    <w:rsid w:val="0043210B"/>
    <w:rsid w:val="00440F01"/>
    <w:rsid w:val="00445E81"/>
    <w:rsid w:val="0046350C"/>
    <w:rsid w:val="00466EA5"/>
    <w:rsid w:val="00474FAC"/>
    <w:rsid w:val="0048681A"/>
    <w:rsid w:val="00493720"/>
    <w:rsid w:val="004C105A"/>
    <w:rsid w:val="004C71E1"/>
    <w:rsid w:val="004D3088"/>
    <w:rsid w:val="004E0DD7"/>
    <w:rsid w:val="004E18CB"/>
    <w:rsid w:val="004E2DE7"/>
    <w:rsid w:val="004F1C7A"/>
    <w:rsid w:val="004F6E8C"/>
    <w:rsid w:val="00502EEA"/>
    <w:rsid w:val="0050658A"/>
    <w:rsid w:val="005104F6"/>
    <w:rsid w:val="00545A22"/>
    <w:rsid w:val="00550B12"/>
    <w:rsid w:val="005604EA"/>
    <w:rsid w:val="00577D4B"/>
    <w:rsid w:val="0059038F"/>
    <w:rsid w:val="00594D02"/>
    <w:rsid w:val="005B0010"/>
    <w:rsid w:val="005C6731"/>
    <w:rsid w:val="005D256E"/>
    <w:rsid w:val="005D7764"/>
    <w:rsid w:val="005D7E56"/>
    <w:rsid w:val="005E213F"/>
    <w:rsid w:val="005E4BA7"/>
    <w:rsid w:val="005F01C9"/>
    <w:rsid w:val="005F43A8"/>
    <w:rsid w:val="006003E4"/>
    <w:rsid w:val="00601294"/>
    <w:rsid w:val="0060529D"/>
    <w:rsid w:val="00632C59"/>
    <w:rsid w:val="00641081"/>
    <w:rsid w:val="00655E70"/>
    <w:rsid w:val="00660CE4"/>
    <w:rsid w:val="00665BF9"/>
    <w:rsid w:val="00675AA8"/>
    <w:rsid w:val="00680ADC"/>
    <w:rsid w:val="006A17EF"/>
    <w:rsid w:val="006B04EC"/>
    <w:rsid w:val="006C238B"/>
    <w:rsid w:val="006C5ABF"/>
    <w:rsid w:val="006C6C19"/>
    <w:rsid w:val="006C6CB4"/>
    <w:rsid w:val="006C7613"/>
    <w:rsid w:val="006F36A4"/>
    <w:rsid w:val="006F6CE3"/>
    <w:rsid w:val="006F744F"/>
    <w:rsid w:val="006F7E5B"/>
    <w:rsid w:val="00700E1F"/>
    <w:rsid w:val="00705D0E"/>
    <w:rsid w:val="007525CC"/>
    <w:rsid w:val="00753BE3"/>
    <w:rsid w:val="007564B1"/>
    <w:rsid w:val="0076087B"/>
    <w:rsid w:val="00766487"/>
    <w:rsid w:val="00770079"/>
    <w:rsid w:val="00785990"/>
    <w:rsid w:val="007A0085"/>
    <w:rsid w:val="007B4640"/>
    <w:rsid w:val="007B485A"/>
    <w:rsid w:val="007B55DB"/>
    <w:rsid w:val="007C6623"/>
    <w:rsid w:val="007D34CE"/>
    <w:rsid w:val="007F7CBF"/>
    <w:rsid w:val="0080251E"/>
    <w:rsid w:val="008118CC"/>
    <w:rsid w:val="008322BF"/>
    <w:rsid w:val="00832B12"/>
    <w:rsid w:val="00840A24"/>
    <w:rsid w:val="00847562"/>
    <w:rsid w:val="00866224"/>
    <w:rsid w:val="00880908"/>
    <w:rsid w:val="00880E3B"/>
    <w:rsid w:val="008A1349"/>
    <w:rsid w:val="008A1CFB"/>
    <w:rsid w:val="008D4BFB"/>
    <w:rsid w:val="008F5356"/>
    <w:rsid w:val="009037F6"/>
    <w:rsid w:val="009158BC"/>
    <w:rsid w:val="00916009"/>
    <w:rsid w:val="00923BC8"/>
    <w:rsid w:val="009430B8"/>
    <w:rsid w:val="00950927"/>
    <w:rsid w:val="0095631E"/>
    <w:rsid w:val="0096732C"/>
    <w:rsid w:val="009704D7"/>
    <w:rsid w:val="009772BD"/>
    <w:rsid w:val="009A72A3"/>
    <w:rsid w:val="009D4667"/>
    <w:rsid w:val="009E6F4A"/>
    <w:rsid w:val="009F0927"/>
    <w:rsid w:val="00A07880"/>
    <w:rsid w:val="00A30EDA"/>
    <w:rsid w:val="00A32162"/>
    <w:rsid w:val="00A646AE"/>
    <w:rsid w:val="00A653BF"/>
    <w:rsid w:val="00A66748"/>
    <w:rsid w:val="00A70AC1"/>
    <w:rsid w:val="00A714E5"/>
    <w:rsid w:val="00A744B0"/>
    <w:rsid w:val="00A95628"/>
    <w:rsid w:val="00AA662D"/>
    <w:rsid w:val="00B31400"/>
    <w:rsid w:val="00B44F8A"/>
    <w:rsid w:val="00B50898"/>
    <w:rsid w:val="00B5430D"/>
    <w:rsid w:val="00B70459"/>
    <w:rsid w:val="00B902B8"/>
    <w:rsid w:val="00BA2393"/>
    <w:rsid w:val="00BB4A19"/>
    <w:rsid w:val="00BC4431"/>
    <w:rsid w:val="00BC475B"/>
    <w:rsid w:val="00C142AB"/>
    <w:rsid w:val="00C248D4"/>
    <w:rsid w:val="00C371BD"/>
    <w:rsid w:val="00C52BD8"/>
    <w:rsid w:val="00CA1674"/>
    <w:rsid w:val="00CB3EE6"/>
    <w:rsid w:val="00CF3FA3"/>
    <w:rsid w:val="00D0038B"/>
    <w:rsid w:val="00D0220E"/>
    <w:rsid w:val="00D11A6D"/>
    <w:rsid w:val="00D228BE"/>
    <w:rsid w:val="00D3161D"/>
    <w:rsid w:val="00D532E7"/>
    <w:rsid w:val="00D82E42"/>
    <w:rsid w:val="00D95C77"/>
    <w:rsid w:val="00D9632D"/>
    <w:rsid w:val="00D9643B"/>
    <w:rsid w:val="00DA1B14"/>
    <w:rsid w:val="00DB35C3"/>
    <w:rsid w:val="00DD1D52"/>
    <w:rsid w:val="00DD6FB0"/>
    <w:rsid w:val="00DE27AF"/>
    <w:rsid w:val="00DE3341"/>
    <w:rsid w:val="00DE4C14"/>
    <w:rsid w:val="00DF35E2"/>
    <w:rsid w:val="00DF66A1"/>
    <w:rsid w:val="00E10631"/>
    <w:rsid w:val="00E172A8"/>
    <w:rsid w:val="00E26CC4"/>
    <w:rsid w:val="00E5101A"/>
    <w:rsid w:val="00E57DFA"/>
    <w:rsid w:val="00E64079"/>
    <w:rsid w:val="00E64D3A"/>
    <w:rsid w:val="00E6505E"/>
    <w:rsid w:val="00E67B15"/>
    <w:rsid w:val="00E67F57"/>
    <w:rsid w:val="00E86FF8"/>
    <w:rsid w:val="00E94589"/>
    <w:rsid w:val="00E97023"/>
    <w:rsid w:val="00EA73DE"/>
    <w:rsid w:val="00EC2DB4"/>
    <w:rsid w:val="00EC6850"/>
    <w:rsid w:val="00EE7AB3"/>
    <w:rsid w:val="00EF067D"/>
    <w:rsid w:val="00EF592E"/>
    <w:rsid w:val="00F11AA8"/>
    <w:rsid w:val="00F22A5F"/>
    <w:rsid w:val="00F2573D"/>
    <w:rsid w:val="00F32EEA"/>
    <w:rsid w:val="00F46B2E"/>
    <w:rsid w:val="00F732E1"/>
    <w:rsid w:val="00F73E6E"/>
    <w:rsid w:val="00F80E11"/>
    <w:rsid w:val="00FC35C9"/>
    <w:rsid w:val="00FC40EC"/>
    <w:rsid w:val="00FC7074"/>
    <w:rsid w:val="00FC73F4"/>
    <w:rsid w:val="00FE0C3B"/>
    <w:rsid w:val="00FE638A"/>
    <w:rsid w:val="00FF4D8B"/>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4BC51"/>
  <w15:chartTrackingRefBased/>
  <w15:docId w15:val="{CF1DAEEB-3EAB-48DD-AA1A-3EEBA090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745D4"/>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0745D4"/>
  </w:style>
  <w:style w:type="paragraph" w:styleId="Subsol">
    <w:name w:val="footer"/>
    <w:basedOn w:val="Normal"/>
    <w:link w:val="SubsolCaracter"/>
    <w:uiPriority w:val="99"/>
    <w:unhideWhenUsed/>
    <w:rsid w:val="000745D4"/>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Subsol"/>
    <w:link w:val="footerChar"/>
    <w:qFormat/>
    <w:rsid w:val="009772BD"/>
    <w:pPr>
      <w:spacing w:before="0"/>
    </w:pPr>
    <w:rPr>
      <w:sz w:val="14"/>
      <w:szCs w:val="14"/>
    </w:rPr>
  </w:style>
  <w:style w:type="character" w:customStyle="1" w:styleId="footerChar">
    <w:name w:val="footer Char"/>
    <w:basedOn w:val="SubsolCaracter"/>
    <w:link w:val="Footer1"/>
    <w:rsid w:val="009772BD"/>
    <w:rPr>
      <w:rFonts w:ascii="Trebuchet MS" w:hAnsi="Trebuchet MS" w:cs="Open Sans"/>
      <w:color w:val="000000"/>
      <w:sz w:val="14"/>
      <w:szCs w:val="14"/>
      <w:lang w:val="ro-RO"/>
    </w:rPr>
  </w:style>
  <w:style w:type="character" w:styleId="Accentuat">
    <w:name w:val="Emphasis"/>
    <w:uiPriority w:val="20"/>
    <w:qFormat/>
    <w:rsid w:val="00371A10"/>
    <w:rPr>
      <w:i/>
      <w:iCs/>
    </w:rPr>
  </w:style>
  <w:style w:type="paragraph" w:styleId="Titlu">
    <w:name w:val="Title"/>
    <w:basedOn w:val="Normal"/>
    <w:next w:val="Normal"/>
    <w:link w:val="TitluCaracter"/>
    <w:uiPriority w:val="10"/>
    <w:qFormat/>
    <w:rsid w:val="00371A10"/>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uCaracter">
    <w:name w:val="Titlu Caracter"/>
    <w:basedOn w:val="Fontdeparagrafimplicit"/>
    <w:link w:val="Titlu"/>
    <w:uiPriority w:val="10"/>
    <w:rsid w:val="00371A10"/>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371A10"/>
    <w:pPr>
      <w:spacing w:before="0"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71A10"/>
    <w:rPr>
      <w:rFonts w:ascii="Segoe UI" w:hAnsi="Segoe UI" w:cs="Segoe UI"/>
      <w:color w:val="000000"/>
      <w:sz w:val="18"/>
      <w:szCs w:val="18"/>
      <w:lang w:val="ro-RO"/>
    </w:rPr>
  </w:style>
  <w:style w:type="character" w:styleId="Hyperlink">
    <w:name w:val="Hyperlink"/>
    <w:basedOn w:val="Fontdeparagrafimplicit"/>
    <w:uiPriority w:val="99"/>
    <w:unhideWhenUsed/>
    <w:rsid w:val="001C20C0"/>
    <w:rPr>
      <w:color w:val="0563C1" w:themeColor="hyperlink"/>
      <w:u w:val="single"/>
    </w:rPr>
  </w:style>
  <w:style w:type="paragraph" w:styleId="Listparagraf">
    <w:name w:val="List Paragraph"/>
    <w:basedOn w:val="Normal"/>
    <w:uiPriority w:val="34"/>
    <w:qFormat/>
    <w:rsid w:val="00866224"/>
    <w:pPr>
      <w:ind w:left="720"/>
      <w:contextualSpacing/>
    </w:pPr>
  </w:style>
  <w:style w:type="table" w:styleId="Tabelgril">
    <w:name w:val="Table Grid"/>
    <w:basedOn w:val="TabelNormal"/>
    <w:uiPriority w:val="39"/>
    <w:rsid w:val="00246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4790</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Ministerul Transporturilor</dc:creator>
  <cp:keywords/>
  <dc:description/>
  <cp:lastModifiedBy>Ministerul Transporturilor</cp:lastModifiedBy>
  <cp:revision>2</cp:revision>
  <cp:lastPrinted>2025-04-23T07:35:00Z</cp:lastPrinted>
  <dcterms:created xsi:type="dcterms:W3CDTF">2025-04-29T11:39:00Z</dcterms:created>
  <dcterms:modified xsi:type="dcterms:W3CDTF">2025-04-29T11:39:00Z</dcterms:modified>
</cp:coreProperties>
</file>