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ED1AA" w14:textId="77777777" w:rsidR="00DC1FDE" w:rsidRDefault="00DC1FDE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6008A11" w14:textId="77777777" w:rsidR="002827C9" w:rsidRDefault="002827C9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8261308" w14:textId="77777777" w:rsidR="00887210" w:rsidRDefault="00887210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271E975" w14:textId="77777777" w:rsidR="003D03DA" w:rsidRDefault="003D03DA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715FAFB" w14:textId="77777777" w:rsidR="003D03DA" w:rsidRDefault="003D03DA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14A41FC" w14:textId="77777777" w:rsidR="003D03DA" w:rsidRDefault="003D03DA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7B50A74" w14:textId="77777777" w:rsidR="00887210" w:rsidRDefault="00887210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6936252" w14:textId="77777777" w:rsidR="00501786" w:rsidRDefault="00501786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D2F3042" w14:textId="77777777" w:rsidR="00AA3695" w:rsidRDefault="00AA3695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65B335B" w14:textId="77777777" w:rsidR="00AA3695" w:rsidRDefault="00AA3695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B1F58E8" w14:textId="60F398F1" w:rsidR="00AA3695" w:rsidRDefault="00AA3695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N</w:t>
      </w:r>
      <w:r w:rsidR="003479AA" w:rsidRPr="00ED59F4">
        <w:rPr>
          <w:rFonts w:ascii="Times New Roman" w:hAnsi="Times New Roman" w:cs="Times New Roman"/>
          <w:b/>
          <w:bCs/>
          <w:sz w:val="26"/>
          <w:szCs w:val="26"/>
          <w:u w:val="single"/>
        </w:rPr>
        <w:t>OTĂ DE FUNDAMENTARE</w:t>
      </w:r>
    </w:p>
    <w:p w14:paraId="7CA2ADB8" w14:textId="77777777" w:rsidR="00AA3695" w:rsidRDefault="00AA3695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3CE3308" w14:textId="77777777" w:rsidR="00AA3695" w:rsidRDefault="00AA3695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8886EE2" w14:textId="77777777" w:rsidR="00AA3695" w:rsidRDefault="00AA3695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8D20903" w14:textId="77777777" w:rsidR="003D03DA" w:rsidRDefault="003D03DA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6C96C35" w14:textId="77777777" w:rsidR="00501786" w:rsidRDefault="00501786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859E595" w14:textId="77777777" w:rsidR="002827C9" w:rsidRDefault="002827C9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BC95E84" w14:textId="77777777" w:rsidR="002827C9" w:rsidRDefault="002827C9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51297AF" w14:textId="77777777" w:rsidR="00AA3695" w:rsidRDefault="00AA3695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438DF1B" w14:textId="77777777" w:rsidR="003479AA" w:rsidRPr="00ED59F4" w:rsidRDefault="003479AA" w:rsidP="00BB286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W w:w="514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1261"/>
        <w:gridCol w:w="507"/>
        <w:gridCol w:w="321"/>
        <w:gridCol w:w="340"/>
        <w:gridCol w:w="535"/>
        <w:gridCol w:w="77"/>
        <w:gridCol w:w="1570"/>
      </w:tblGrid>
      <w:tr w:rsidR="003479AA" w:rsidRPr="003529EB" w14:paraId="2C3D6363" w14:textId="77777777" w:rsidTr="00F77CA2">
        <w:tc>
          <w:tcPr>
            <w:tcW w:w="9316" w:type="dxa"/>
            <w:gridSpan w:val="8"/>
          </w:tcPr>
          <w:p w14:paraId="54B54105" w14:textId="77777777" w:rsidR="00501786" w:rsidRDefault="00501786" w:rsidP="008E208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486F2C" w14:textId="77777777" w:rsidR="003479AA" w:rsidRPr="003529EB" w:rsidRDefault="003479AA" w:rsidP="008E208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Secţiunea 1</w:t>
            </w:r>
          </w:p>
          <w:p w14:paraId="69DDAF18" w14:textId="77777777" w:rsidR="003239B0" w:rsidRDefault="003479AA" w:rsidP="008E208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Titlul prezentului proiect de act normativ</w:t>
            </w:r>
          </w:p>
          <w:p w14:paraId="789309D3" w14:textId="77777777" w:rsidR="00AC332A" w:rsidRPr="00B00F78" w:rsidRDefault="00AC332A" w:rsidP="008E208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o-RO"/>
              </w:rPr>
            </w:pPr>
          </w:p>
          <w:p w14:paraId="3BECE940" w14:textId="77777777" w:rsidR="003239B0" w:rsidRPr="00CF480F" w:rsidRDefault="003479AA" w:rsidP="008E208F">
            <w:pPr>
              <w:tabs>
                <w:tab w:val="left" w:pos="990"/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o-RO"/>
              </w:rPr>
            </w:pPr>
            <w:r w:rsidRPr="00CF48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o-RO"/>
              </w:rPr>
              <w:t>HOTĂRÂRE</w:t>
            </w:r>
          </w:p>
          <w:p w14:paraId="0ABD10FF" w14:textId="0AF0E1C7" w:rsidR="00CF480F" w:rsidRPr="008E208F" w:rsidRDefault="003479AA" w:rsidP="005246BE">
            <w:pPr>
              <w:tabs>
                <w:tab w:val="left" w:pos="990"/>
                <w:tab w:val="left" w:pos="3960"/>
              </w:tabs>
              <w:spacing w:after="0"/>
              <w:ind w:left="13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8F">
              <w:rPr>
                <w:rFonts w:ascii="Times New Roman" w:hAnsi="Times New Roman" w:cs="Times New Roman"/>
                <w:b/>
                <w:sz w:val="26"/>
                <w:szCs w:val="26"/>
              </w:rPr>
              <w:t>privind aprobarea bugetului de venituri şi cheltuieli</w:t>
            </w:r>
            <w:r w:rsidR="00B37BFA" w:rsidRPr="008E20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917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rectificat </w:t>
            </w:r>
            <w:r w:rsidRPr="008E208F">
              <w:rPr>
                <w:rFonts w:ascii="Times New Roman" w:hAnsi="Times New Roman" w:cs="Times New Roman"/>
                <w:b/>
                <w:sz w:val="26"/>
                <w:szCs w:val="26"/>
              </w:rPr>
              <w:t>pe anul 20</w:t>
            </w:r>
            <w:r w:rsidR="001D2622" w:rsidRPr="008E208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F6CE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E20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E208F">
              <w:rPr>
                <w:rFonts w:ascii="Times New Roman" w:hAnsi="Times New Roman" w:cs="Times New Roman"/>
                <w:b/>
                <w:sz w:val="26"/>
                <w:szCs w:val="26"/>
              </w:rPr>
              <w:t>al</w:t>
            </w:r>
          </w:p>
          <w:p w14:paraId="3E433E26" w14:textId="2518DDC6" w:rsidR="005246BE" w:rsidRPr="009835B0" w:rsidRDefault="005246BE" w:rsidP="005246BE">
            <w:pPr>
              <w:tabs>
                <w:tab w:val="left" w:pos="990"/>
                <w:tab w:val="left" w:pos="3960"/>
              </w:tabs>
              <w:spacing w:after="0"/>
              <w:ind w:left="13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4B8">
              <w:rPr>
                <w:rFonts w:ascii="Times New Roman" w:hAnsi="Times New Roman" w:cs="Times New Roman"/>
                <w:b/>
                <w:sz w:val="26"/>
                <w:szCs w:val="26"/>
              </w:rPr>
              <w:t>Societăţii Naţionale "Aeroportul Internaţional Timişoara - Traian Vuia" - S.A.,</w:t>
            </w:r>
          </w:p>
          <w:p w14:paraId="75CF8A7B" w14:textId="77777777" w:rsidR="00DC1FDE" w:rsidRDefault="008E208F" w:rsidP="00AA3695">
            <w:pPr>
              <w:tabs>
                <w:tab w:val="left" w:pos="990"/>
                <w:tab w:val="left" w:pos="3960"/>
              </w:tabs>
              <w:spacing w:after="0"/>
              <w:ind w:left="13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246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="001924AE" w:rsidRPr="008E208F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="003529EB" w:rsidRPr="008E208F">
              <w:rPr>
                <w:rFonts w:ascii="Times New Roman" w:hAnsi="Times New Roman" w:cs="Times New Roman"/>
                <w:b/>
                <w:sz w:val="26"/>
                <w:szCs w:val="26"/>
              </w:rPr>
              <w:t>fla</w:t>
            </w:r>
            <w:r w:rsidR="00553E71" w:rsidRPr="008E208F">
              <w:rPr>
                <w:rFonts w:ascii="Times New Roman" w:hAnsi="Times New Roman" w:cs="Times New Roman"/>
                <w:b/>
                <w:sz w:val="26"/>
                <w:szCs w:val="26"/>
              </w:rPr>
              <w:t>tă sub</w:t>
            </w:r>
            <w:r w:rsidR="005246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53E71" w:rsidRPr="008E20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autoritatea </w:t>
            </w:r>
            <w:r w:rsidR="009F3D6A" w:rsidRPr="008E20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53E71" w:rsidRPr="008E208F">
              <w:rPr>
                <w:rFonts w:ascii="Times New Roman" w:hAnsi="Times New Roman" w:cs="Times New Roman"/>
                <w:b/>
                <w:sz w:val="26"/>
                <w:szCs w:val="26"/>
              </w:rPr>
              <w:t>Ministerului Tran</w:t>
            </w:r>
            <w:r w:rsidR="00CE022B" w:rsidRPr="008E208F">
              <w:rPr>
                <w:rFonts w:ascii="Times New Roman" w:hAnsi="Times New Roman" w:cs="Times New Roman"/>
                <w:b/>
                <w:sz w:val="26"/>
                <w:szCs w:val="26"/>
              </w:rPr>
              <w:t>sporturilor și Infrastructurii</w:t>
            </w:r>
          </w:p>
          <w:p w14:paraId="2DD05443" w14:textId="1F771C17" w:rsidR="002827C9" w:rsidRPr="003529EB" w:rsidRDefault="002827C9" w:rsidP="00AA3695">
            <w:pPr>
              <w:tabs>
                <w:tab w:val="left" w:pos="990"/>
                <w:tab w:val="left" w:pos="3960"/>
              </w:tabs>
              <w:spacing w:after="0"/>
              <w:ind w:left="13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79AA" w:rsidRPr="00ED59F4" w14:paraId="7F048D7A" w14:textId="77777777" w:rsidTr="00F77CA2">
        <w:trPr>
          <w:trHeight w:val="566"/>
        </w:trPr>
        <w:tc>
          <w:tcPr>
            <w:tcW w:w="9316" w:type="dxa"/>
            <w:gridSpan w:val="8"/>
          </w:tcPr>
          <w:p w14:paraId="58300431" w14:textId="77777777" w:rsidR="00A23300" w:rsidRDefault="00A23300" w:rsidP="00BB286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8661222" w14:textId="420F189D" w:rsidR="003479AA" w:rsidRPr="00ED59F4" w:rsidRDefault="003479AA" w:rsidP="00BB286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59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Secţiunea a 2 – a</w:t>
            </w:r>
          </w:p>
          <w:p w14:paraId="3F7332C0" w14:textId="079DDD7C" w:rsidR="008F3DFB" w:rsidRDefault="003479AA" w:rsidP="00AA3695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59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Motivul emiterii act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ului</w:t>
            </w:r>
            <w:r w:rsidRPr="00ED59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normativ</w:t>
            </w:r>
          </w:p>
          <w:p w14:paraId="722E8DD8" w14:textId="7C3F323C" w:rsidR="00AA3695" w:rsidRPr="00ED59F4" w:rsidRDefault="00AA3695" w:rsidP="00AA3695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479AA" w:rsidRPr="00571A29" w14:paraId="1F7FFE90" w14:textId="77777777" w:rsidTr="00F77CA2">
        <w:trPr>
          <w:trHeight w:val="620"/>
        </w:trPr>
        <w:tc>
          <w:tcPr>
            <w:tcW w:w="9316" w:type="dxa"/>
            <w:gridSpan w:val="8"/>
          </w:tcPr>
          <w:p w14:paraId="2A605E70" w14:textId="4E13C980" w:rsidR="00887210" w:rsidRPr="00BF2DBA" w:rsidRDefault="00DC1FDE" w:rsidP="00BF2DBA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</w:t>
            </w:r>
            <w:r w:rsidR="003479AA" w:rsidRPr="00BF2D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Descrierea situaţiei actuale</w:t>
            </w:r>
          </w:p>
          <w:p w14:paraId="03BD85E8" w14:textId="77777777" w:rsidR="00476E18" w:rsidRPr="00BF2DBA" w:rsidRDefault="00476E18" w:rsidP="00BF2DBA">
            <w:pPr>
              <w:pStyle w:val="Listparagraf"/>
              <w:tabs>
                <w:tab w:val="left" w:pos="3960"/>
              </w:tabs>
              <w:spacing w:after="0"/>
              <w:ind w:lef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Ministerul Transporturilor și Infr</w:t>
            </w:r>
            <w:r w:rsidR="00DE79BF" w:rsidRPr="00BF2DBA">
              <w:rPr>
                <w:rFonts w:ascii="Times New Roman" w:hAnsi="Times New Roman" w:cs="Times New Roman"/>
                <w:sz w:val="26"/>
                <w:szCs w:val="26"/>
              </w:rPr>
              <w:t>astructurii are  sub autoritate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societăți cu capital unic sau majoritar de stat, în conformitate cu prevederile anexei nr. 2 lit. E la Hotărârea Guvernului nr.</w:t>
            </w:r>
            <w:r w:rsidR="00DE79BF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370/2021 privind organizarea și funcţionarea Ministerului Tran</w:t>
            </w:r>
            <w:r w:rsidR="00DE79BF" w:rsidRPr="00BF2DBA">
              <w:rPr>
                <w:rFonts w:ascii="Times New Roman" w:hAnsi="Times New Roman" w:cs="Times New Roman"/>
                <w:sz w:val="26"/>
                <w:szCs w:val="26"/>
              </w:rPr>
              <w:t>sporturilor și Infrastructurii, cu modificările și completările ulterioare.</w:t>
            </w:r>
          </w:p>
          <w:p w14:paraId="021727BD" w14:textId="16BD840D" w:rsidR="00501786" w:rsidRPr="00BF2DBA" w:rsidRDefault="00DE79BF" w:rsidP="00BF2DBA">
            <w:pPr>
              <w:tabs>
                <w:tab w:val="left" w:pos="990"/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Pentru aceasta</w:t>
            </w:r>
            <w:r w:rsidR="00476E18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, conform prevederilor Legii societăţilor nr. 31/1990, republicată, cu modificările și completările ulterioare, este necesară aprobarea prin </w:t>
            </w:r>
            <w:r w:rsidR="00A95018" w:rsidRPr="00BF2DBA">
              <w:rPr>
                <w:rFonts w:ascii="Times New Roman" w:hAnsi="Times New Roman" w:cs="Times New Roman"/>
                <w:sz w:val="26"/>
                <w:szCs w:val="26"/>
              </w:rPr>
              <w:t>Hotărârea Adunării Generale a Acționarilor</w:t>
            </w:r>
            <w:r w:rsidR="00793BF5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6E18" w:rsidRPr="00BF2DBA">
              <w:rPr>
                <w:rFonts w:ascii="Times New Roman" w:hAnsi="Times New Roman" w:cs="Times New Roman"/>
                <w:sz w:val="26"/>
                <w:szCs w:val="26"/>
              </w:rPr>
              <w:t>a proiectului bugetului de venituri și cheltuieli</w:t>
            </w:r>
            <w:r w:rsidR="00793BF5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rectificat</w:t>
            </w:r>
            <w:r w:rsidR="00476E18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, iar conform prevederilor art. 4 alin. (1) lit. a) din Ordonanţa Guvernului nr. 26/2013 privind întărirea disciplinei financiare la nivelul unor operatori economici la care statul sau </w:t>
            </w:r>
          </w:p>
          <w:p w14:paraId="16BC4B7E" w14:textId="77777777" w:rsidR="00A23300" w:rsidRDefault="00A23300" w:rsidP="00BF2DBA">
            <w:pPr>
              <w:tabs>
                <w:tab w:val="left" w:pos="990"/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FFA918" w14:textId="77777777" w:rsidR="00A23300" w:rsidRDefault="00A23300" w:rsidP="00BF2DBA">
            <w:pPr>
              <w:tabs>
                <w:tab w:val="left" w:pos="990"/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C6B56E" w14:textId="50A8E901" w:rsidR="00BF55AD" w:rsidRPr="00BF2DBA" w:rsidRDefault="00476E18" w:rsidP="00BF2DBA">
            <w:pPr>
              <w:tabs>
                <w:tab w:val="left" w:pos="990"/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unităţile administrativ - teritoriale sunt acţionari unici ori majoritari sau deţin direct ori indirect o participaţie majoritară,  cu modificările şi completările ulterioare</w:t>
            </w:r>
            <w:r w:rsidR="00E1364F" w:rsidRPr="00BF2DBA">
              <w:rPr>
                <w:rFonts w:ascii="Times New Roman" w:hAnsi="Times New Roman" w:cs="Times New Roman"/>
                <w:sz w:val="26"/>
                <w:szCs w:val="26"/>
              </w:rPr>
              <w:t>, b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ugetul de venituri şi cheltuieli </w:t>
            </w:r>
            <w:r w:rsidR="00891751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rectificat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pe anul 202</w:t>
            </w:r>
            <w:r w:rsidR="000F6CEB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91751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al</w:t>
            </w:r>
            <w:r w:rsidR="00921236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5018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Societăţii Naţionale "Aeroportul Internaţional Timişoara - Traian Vuia" - S.A., </w:t>
            </w:r>
            <w:r w:rsidR="000B0D44" w:rsidRPr="00BF2DBA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e aprobă prin hotărâre a Guvernului, inițiată de Ministerul Transporturilor și Infrastructurii,</w:t>
            </w:r>
            <w:r w:rsidR="00B00F78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ordonatorul principal de credite</w:t>
            </w:r>
            <w:r w:rsidR="00C64B56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51C2" w:rsidRPr="00BF2DBA">
              <w:rPr>
                <w:rFonts w:ascii="Times New Roman" w:hAnsi="Times New Roman" w:cs="Times New Roman"/>
                <w:sz w:val="26"/>
                <w:szCs w:val="26"/>
              </w:rPr>
              <w:t>sub autoritatea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căruia se află, cu avizul Ministerului Muncii și Solidarității  Sociale şi </w:t>
            </w:r>
            <w:r w:rsidR="00921236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al Ministerului Finanțelor.</w:t>
            </w:r>
            <w:r w:rsidR="00BF55AD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AD8CFC7" w14:textId="7D060104" w:rsidR="00C64B56" w:rsidRPr="00BF2DBA" w:rsidRDefault="00C64B56" w:rsidP="00BF2DBA">
            <w:pPr>
              <w:tabs>
                <w:tab w:val="left" w:pos="990"/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Societatea Națională „Aeroportul Internațional Timișoara Traian - Vuia” - S.A.</w:t>
            </w:r>
            <w:r w:rsidRPr="00BF2D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a fost înființată în conformitate cu prevederile Hotărârii Guvernului nr.</w:t>
            </w:r>
            <w:r w:rsidR="000F6CEB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521/1998 și este principala poartă aeriană de intrare în partea de vest a României, fiind al treilea aeroport (ca volum de trafic aerian) din România.</w:t>
            </w:r>
          </w:p>
          <w:p w14:paraId="23E67765" w14:textId="117CE3A0" w:rsidR="00C64B56" w:rsidRPr="00BF2DBA" w:rsidRDefault="00C64B56" w:rsidP="00BF2DB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Sursele de finanțare ale Societății Naționale „Aeroportul Internațional Timișoara Traian - Vuia” - S.A.</w:t>
            </w:r>
            <w:r w:rsidRPr="00BF2D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cuprind</w:t>
            </w:r>
            <w:r w:rsidRPr="00BF2D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F2DBA">
              <w:rPr>
                <w:rStyle w:val="l5def2"/>
                <w:rFonts w:ascii="Times New Roman" w:hAnsi="Times New Roman" w:cs="Times New Roman"/>
              </w:rPr>
              <w:t xml:space="preserve">venituri proprii, </w:t>
            </w:r>
            <w:r w:rsidRPr="00BF2DBA">
              <w:rPr>
                <w:rStyle w:val="l5def3"/>
                <w:rFonts w:ascii="Times New Roman" w:hAnsi="Times New Roman" w:cs="Times New Roman"/>
              </w:rPr>
              <w:t xml:space="preserve">fonduri externe nerambursabile, </w:t>
            </w:r>
            <w:r w:rsidRPr="00BF2DBA">
              <w:rPr>
                <w:rStyle w:val="l5def4"/>
                <w:rFonts w:ascii="Times New Roman" w:hAnsi="Times New Roman" w:cs="Times New Roman"/>
              </w:rPr>
              <w:t>credite interne  contractate în nume propriu</w:t>
            </w:r>
            <w:r w:rsidR="0071494E" w:rsidRPr="00BF2DBA">
              <w:rPr>
                <w:rStyle w:val="l5def4"/>
                <w:rFonts w:ascii="Times New Roman" w:hAnsi="Times New Roman" w:cs="Times New Roman"/>
              </w:rPr>
              <w:t>.</w:t>
            </w:r>
          </w:p>
          <w:p w14:paraId="5BE3E313" w14:textId="4B9F386F" w:rsidR="00165738" w:rsidRPr="00BF2DBA" w:rsidRDefault="00165738" w:rsidP="00BF2DBA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Proiectul bugetului de venituri şi cheltuieli</w:t>
            </w:r>
            <w:r w:rsidR="00DE79BF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rectificat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pentru anul 202</w:t>
            </w:r>
            <w:r w:rsidR="000F6CEB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o-RO"/>
              </w:rPr>
              <w:t xml:space="preserve"> a fost întocmit cu respectarea următoarelor prevederi legale: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08B3607" w14:textId="41A2D040" w:rsidR="00891751" w:rsidRPr="00BF2DBA" w:rsidRDefault="00165738" w:rsidP="00BF2D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91751" w:rsidRPr="00BF2D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Ordonanţa Guvernului nr. 26/2013 privind întărirea disciplinei financiare la nivelul unor operatori economici la care statul sau unităţile administrativ-teritoriale sunt acţionari unici ori majoritari sau deţin direct ori indirect o participaţie majoritară,</w:t>
            </w:r>
            <w:r w:rsidR="00891751" w:rsidRPr="00B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  </w:t>
            </w:r>
            <w:r w:rsidR="00793BF5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aprobată cu completări prin Legea nr. 47/2014, </w:t>
            </w:r>
            <w:r w:rsidR="00891751" w:rsidRPr="00BF2DBA">
              <w:rPr>
                <w:rFonts w:ascii="Times New Roman" w:hAnsi="Times New Roman" w:cs="Times New Roman"/>
                <w:sz w:val="26"/>
                <w:szCs w:val="26"/>
              </w:rPr>
              <w:t>cu modificările şi completările ulterioare;</w:t>
            </w:r>
          </w:p>
          <w:p w14:paraId="5B5FD9AB" w14:textId="192A476D" w:rsidR="00BC32CD" w:rsidRPr="00BF2DBA" w:rsidRDefault="00BC32CD" w:rsidP="00BF2DBA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Ordonanța de urgență a Guvernului nr. 113/23.09.2024  cu privire la rectificarea bugetului de stat pe anul 2024</w:t>
            </w:r>
            <w:r w:rsidRPr="00BF2DB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14:paraId="3C1BC54F" w14:textId="2709A529" w:rsidR="0071494E" w:rsidRPr="00BF2DBA" w:rsidRDefault="0071494E" w:rsidP="00BF2DBA">
            <w:pPr>
              <w:pStyle w:val="Corptext"/>
              <w:spacing w:line="276" w:lineRule="auto"/>
              <w:rPr>
                <w:color w:val="000000"/>
                <w:sz w:val="26"/>
                <w:szCs w:val="26"/>
              </w:rPr>
            </w:pPr>
            <w:r w:rsidRPr="00BF2DBA">
              <w:rPr>
                <w:color w:val="000000"/>
                <w:sz w:val="26"/>
                <w:szCs w:val="26"/>
              </w:rPr>
              <w:t xml:space="preserve">- prevederile Legii  </w:t>
            </w:r>
            <w:r w:rsidRPr="00BF2DBA">
              <w:rPr>
                <w:sz w:val="26"/>
                <w:szCs w:val="26"/>
              </w:rPr>
              <w:t xml:space="preserve">nr. 421/28.12.2023- </w:t>
            </w:r>
            <w:r w:rsidRPr="00BF2DBA">
              <w:rPr>
                <w:color w:val="000000"/>
                <w:sz w:val="26"/>
                <w:szCs w:val="26"/>
              </w:rPr>
              <w:t xml:space="preserve">Legea bugetului de </w:t>
            </w:r>
            <w:r w:rsidRPr="00BF2DBA">
              <w:rPr>
                <w:color w:val="000000"/>
                <w:sz w:val="26"/>
                <w:szCs w:val="26"/>
              </w:rPr>
              <w:t>s</w:t>
            </w:r>
            <w:r w:rsidRPr="00BF2DBA">
              <w:rPr>
                <w:color w:val="000000"/>
                <w:sz w:val="26"/>
                <w:szCs w:val="26"/>
              </w:rPr>
              <w:t>tat pe anul 2024;</w:t>
            </w:r>
          </w:p>
          <w:p w14:paraId="354BFAE8" w14:textId="22D8D745" w:rsidR="000A64B8" w:rsidRPr="00BF2DBA" w:rsidRDefault="000A64B8" w:rsidP="00BF2DB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- prevederile Legii nr. 296/2023 privind unele măsuri fiscal-bugetare pentru asigurarea sustenabilității financiare a României pe termen lung, cu modificările și completările ulterioare coroborate cu cele din memorandumul aprobat</w:t>
            </w:r>
            <w:r w:rsidR="00BC32CD" w:rsidRPr="00BF2D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nr. 23338/19.06.2024</w:t>
            </w:r>
            <w:r w:rsidR="00BC32CD" w:rsidRPr="00BF2D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cu tema:</w:t>
            </w:r>
            <w:r w:rsidR="00BF2DBA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BC32CD" w:rsidRPr="00BF2DBA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xceptarea operatorilor economici aflați sub autoritatea</w:t>
            </w:r>
            <w:r w:rsidR="00BC32CD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Ministerului  Transporturilor și Infrastructurii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, care administrează infrastructuri aeroportuare de interes național</w:t>
            </w:r>
            <w:r w:rsidR="00BC32CD" w:rsidRPr="00BF2DBA">
              <w:rPr>
                <w:rFonts w:ascii="Times New Roman" w:hAnsi="Times New Roman" w:cs="Times New Roman"/>
                <w:sz w:val="26"/>
                <w:szCs w:val="26"/>
              </w:rPr>
              <w:t>, de la aplicarea prevederilor art. XXXII și art. XXXVII alin. (7), (8), (9) și (10) din Cap. III Măsuri pentru disciplina economico-financiară, Secțiunea a 2-a din Legea nr. 296/2023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”; </w:t>
            </w:r>
          </w:p>
          <w:p w14:paraId="5DBCF691" w14:textId="70F9FE6F" w:rsidR="000A64B8" w:rsidRPr="00BF2DBA" w:rsidRDefault="000A64B8" w:rsidP="00BF2DB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- Ordonanța de urgență a Guvernului nr. 31/28.03.2024 privind reglementarea unor măsuri fiscal-bugetare și pentru modificarea și completarea unor acte normative;</w:t>
            </w:r>
          </w:p>
          <w:p w14:paraId="5DA2D993" w14:textId="4B81CD9E" w:rsidR="000A64B8" w:rsidRPr="00BF2DBA" w:rsidRDefault="000A64B8" w:rsidP="00BF2DBA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prevederile </w:t>
            </w:r>
            <w:r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>Ordonanţei de urgenţă nr. 109/2011 privind guvernanța corporativă a întreprinderilor publice, cu modificările și completările ulterioare; 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14:paraId="212B4AEE" w14:textId="77777777" w:rsidR="00501786" w:rsidRDefault="00891751" w:rsidP="00BF2DBA">
            <w:pPr>
              <w:pStyle w:val="Corptext"/>
              <w:spacing w:line="276" w:lineRule="auto"/>
              <w:rPr>
                <w:sz w:val="26"/>
                <w:szCs w:val="26"/>
              </w:rPr>
            </w:pPr>
            <w:r w:rsidRPr="00BF2DBA">
              <w:rPr>
                <w:sz w:val="26"/>
                <w:szCs w:val="26"/>
              </w:rPr>
              <w:t>- ordinul Ministrului Finanțelor Publice nr.</w:t>
            </w:r>
            <w:r w:rsidR="00DE79BF" w:rsidRPr="00BF2DBA">
              <w:rPr>
                <w:sz w:val="26"/>
                <w:szCs w:val="26"/>
              </w:rPr>
              <w:t xml:space="preserve"> </w:t>
            </w:r>
            <w:r w:rsidRPr="00BF2DBA">
              <w:rPr>
                <w:sz w:val="26"/>
                <w:szCs w:val="26"/>
              </w:rPr>
              <w:t>3818/2019 privind aprobarea formatului şi structurii bugetului de venituri şi cheltuieli al operatorilor economici, precum şi a anexelor de fundamentare a acestuia.</w:t>
            </w:r>
          </w:p>
          <w:p w14:paraId="0586CD56" w14:textId="0602E2FD" w:rsidR="00A23300" w:rsidRPr="00BF2DBA" w:rsidRDefault="00A23300" w:rsidP="00BF2DBA">
            <w:pPr>
              <w:pStyle w:val="Corptext"/>
              <w:spacing w:line="276" w:lineRule="auto"/>
              <w:rPr>
                <w:sz w:val="26"/>
                <w:szCs w:val="26"/>
              </w:rPr>
            </w:pPr>
          </w:p>
        </w:tc>
      </w:tr>
      <w:tr w:rsidR="003479AA" w:rsidRPr="00571A29" w14:paraId="08E7E8D4" w14:textId="77777777" w:rsidTr="00F77CA2">
        <w:tc>
          <w:tcPr>
            <w:tcW w:w="9316" w:type="dxa"/>
            <w:gridSpan w:val="8"/>
          </w:tcPr>
          <w:p w14:paraId="21598BC3" w14:textId="05FC69EE" w:rsidR="00DC1FDE" w:rsidRDefault="00DC1FDE" w:rsidP="00BF2DBA">
            <w:pPr>
              <w:tabs>
                <w:tab w:val="left" w:pos="396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2.</w:t>
            </w:r>
            <w:r w:rsidR="00775021" w:rsidRPr="00BF2D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Schimbări preconizate</w:t>
            </w:r>
            <w:r w:rsidR="00D313B1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19E292A" w14:textId="77777777" w:rsidR="00A23300" w:rsidRPr="00BF2DBA" w:rsidRDefault="00A23300" w:rsidP="00BF2DBA">
            <w:pPr>
              <w:tabs>
                <w:tab w:val="left" w:pos="396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53846C" w14:textId="6472D619" w:rsidR="00F63F4E" w:rsidRPr="00BF2DBA" w:rsidRDefault="00BF3B1C" w:rsidP="00BF2DBA">
            <w:pPr>
              <w:tabs>
                <w:tab w:val="left" w:pos="990"/>
                <w:tab w:val="left" w:pos="396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Indicatorii economico</w:t>
            </w:r>
            <w:r w:rsidR="00DE79BF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- financiari prevăzuți în bugetul de venituri şi c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heltuieli  rectificat pe anul 202</w:t>
            </w:r>
            <w:r w:rsidR="000F6CEB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al </w:t>
            </w:r>
            <w:r w:rsidR="007341E5" w:rsidRPr="00BF2DBA">
              <w:rPr>
                <w:rFonts w:ascii="Times New Roman" w:hAnsi="Times New Roman" w:cs="Times New Roman"/>
                <w:sz w:val="26"/>
                <w:szCs w:val="26"/>
              </w:rPr>
              <w:t>Societăţii Naţionale "Aeroportul Internaţional Timişoara - Traian Vuia " - S.A.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3F4E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au fost fundamentați pe baza realizărilor din perioada ianuarie – </w:t>
            </w:r>
            <w:r w:rsidR="000F6CEB" w:rsidRPr="00BF2DBA">
              <w:rPr>
                <w:rFonts w:ascii="Times New Roman" w:hAnsi="Times New Roman" w:cs="Times New Roman"/>
                <w:sz w:val="26"/>
                <w:szCs w:val="26"/>
              </w:rPr>
              <w:t>septembrie</w:t>
            </w:r>
            <w:r w:rsidR="00F63F4E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F6CEB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3F4E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și prognoza evoluției lor în perioada </w:t>
            </w:r>
            <w:r w:rsidR="000F6CEB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octombrie </w:t>
            </w:r>
            <w:r w:rsidR="00F63F4E" w:rsidRPr="00BF2DBA">
              <w:rPr>
                <w:rFonts w:ascii="Times New Roman" w:hAnsi="Times New Roman" w:cs="Times New Roman"/>
                <w:sz w:val="26"/>
                <w:szCs w:val="26"/>
              </w:rPr>
              <w:t>– decembrie 202</w:t>
            </w:r>
            <w:r w:rsidR="000F6CEB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3F4E"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69AAD8" w14:textId="0FEF0456" w:rsidR="007341E5" w:rsidRPr="00BF2DBA" w:rsidRDefault="00F63F4E" w:rsidP="00BF2DBA">
            <w:pPr>
              <w:tabs>
                <w:tab w:val="left" w:pos="990"/>
                <w:tab w:val="left" w:pos="396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Rectificarea bugetară</w:t>
            </w:r>
            <w:r w:rsidR="00B92821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presupune modificări atât în structura veniturilor și a cheltuielilor totale</w:t>
            </w:r>
            <w:r w:rsidR="00DE79BF" w:rsidRPr="00BF2D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cât și în ceea ce privește nivelul surselor de finanțare a investițiilor și a cheltuielilor de investiții</w:t>
            </w:r>
            <w:r w:rsidR="00B92821" w:rsidRPr="00BF2DBA">
              <w:rPr>
                <w:rFonts w:ascii="Times New Roman" w:hAnsi="Times New Roman" w:cs="Times New Roman"/>
                <w:sz w:val="26"/>
                <w:szCs w:val="26"/>
              </w:rPr>
              <w:t>, conform prevederilor art. 10, alin. (2) din OG nr. 26/2013.</w:t>
            </w:r>
          </w:p>
          <w:p w14:paraId="36B57C39" w14:textId="06F3B061" w:rsidR="003429B9" w:rsidRPr="00BF2DBA" w:rsidRDefault="00F63F4E" w:rsidP="00BF2DBA">
            <w:pPr>
              <w:tabs>
                <w:tab w:val="left" w:pos="990"/>
                <w:tab w:val="left" w:pos="3960"/>
              </w:tabs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color w:val="00008B"/>
                <w:sz w:val="26"/>
                <w:szCs w:val="26"/>
                <w:shd w:val="clear" w:color="auto" w:fill="FFFFFF"/>
              </w:rPr>
            </w:pP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Pentru anul 202</w:t>
            </w:r>
            <w:r w:rsidR="00B92821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, prin Hotărârea Guvernului nr.</w:t>
            </w:r>
            <w:r w:rsidR="00DE79BF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0DD2" w:rsidRPr="00BF2D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92821" w:rsidRPr="00BF2DBA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B92821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, a fost aprobat </w:t>
            </w:r>
            <w:r w:rsidRPr="00BF2DBA">
              <w:rPr>
                <w:rStyle w:val="spar"/>
                <w:rFonts w:ascii="Times New Roman" w:hAnsi="Times New Roman" w:cs="Times New Roman"/>
                <w:iCs/>
                <w:sz w:val="26"/>
                <w:szCs w:val="26"/>
              </w:rPr>
              <w:t>bugetul de venituri şi cheltuieli pe anul 202</w:t>
            </w:r>
            <w:r w:rsidR="00B92821" w:rsidRPr="00BF2DBA">
              <w:rPr>
                <w:rStyle w:val="spar"/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  <w:r w:rsidRPr="00BF2DBA">
              <w:rPr>
                <w:rStyle w:val="spar"/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3429B9" w:rsidRPr="00BF2DBA">
              <w:rPr>
                <w:rStyle w:val="spar"/>
                <w:rFonts w:ascii="Times New Roman" w:hAnsi="Times New Roman" w:cs="Times New Roman"/>
                <w:iCs/>
                <w:sz w:val="26"/>
                <w:szCs w:val="26"/>
              </w:rPr>
              <w:t xml:space="preserve">al </w:t>
            </w:r>
            <w:r w:rsidR="007341E5" w:rsidRPr="00BF2DBA">
              <w:rPr>
                <w:rFonts w:ascii="Times New Roman" w:hAnsi="Times New Roman" w:cs="Times New Roman"/>
                <w:sz w:val="26"/>
                <w:szCs w:val="26"/>
              </w:rPr>
              <w:t>Societăţii Naţionale "Aeroportul Internaţional Timişoara - Traian Vuia" - S.A.</w:t>
            </w:r>
            <w:r w:rsidR="00B92821" w:rsidRPr="00BF2D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429B9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2DBA">
              <w:rPr>
                <w:rStyle w:val="spar"/>
                <w:rFonts w:ascii="Times New Roman" w:hAnsi="Times New Roman" w:cs="Times New Roman"/>
                <w:iCs/>
                <w:sz w:val="26"/>
                <w:szCs w:val="26"/>
              </w:rPr>
              <w:t xml:space="preserve">aflată sub autoritatea Ministerului Transporturilor și Infrastructurii, în care veniturile totale au fost estimate în valoare de </w:t>
            </w:r>
            <w:r w:rsidR="00B92821" w:rsidRPr="00BF2DBA">
              <w:rPr>
                <w:rStyle w:val="spar"/>
                <w:rFonts w:ascii="Times New Roman" w:hAnsi="Times New Roman" w:cs="Times New Roman"/>
                <w:iCs/>
                <w:sz w:val="26"/>
                <w:szCs w:val="26"/>
              </w:rPr>
              <w:t>77</w:t>
            </w:r>
            <w:r w:rsidR="003D450F" w:rsidRPr="00BF2DBA">
              <w:rPr>
                <w:rStyle w:val="spar"/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="00B92821" w:rsidRPr="00BF2DBA">
              <w:rPr>
                <w:rStyle w:val="spar"/>
                <w:rFonts w:ascii="Times New Roman" w:hAnsi="Times New Roman" w:cs="Times New Roman"/>
                <w:iCs/>
                <w:sz w:val="26"/>
                <w:szCs w:val="26"/>
              </w:rPr>
              <w:t>26</w:t>
            </w:r>
            <w:r w:rsidR="003D450F" w:rsidRPr="00BF2DBA">
              <w:rPr>
                <w:rStyle w:val="spar"/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  <w:r w:rsidRPr="00BF2DBA">
              <w:rPr>
                <w:rStyle w:val="spar"/>
                <w:rFonts w:ascii="Times New Roman" w:hAnsi="Times New Roman" w:cs="Times New Roman"/>
                <w:iCs/>
                <w:sz w:val="26"/>
                <w:szCs w:val="26"/>
              </w:rPr>
              <w:t xml:space="preserve"> mii lei,</w:t>
            </w:r>
            <w:r w:rsidR="002B7BC5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 cheltuielile totale în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valoare de  </w:t>
            </w:r>
            <w:r w:rsidR="007449CA" w:rsidRPr="00BF2DBA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3D450F" w:rsidRPr="00BF2DBA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7449CA" w:rsidRPr="00BF2D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E4F72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mii lei  și rezultatul brut</w:t>
            </w:r>
            <w:r w:rsidR="002B7BC5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5CB0" w:rsidRPr="00BF2DBA">
              <w:rPr>
                <w:rFonts w:ascii="Times New Roman" w:hAnsi="Times New Roman" w:cs="Times New Roman"/>
                <w:sz w:val="26"/>
                <w:szCs w:val="26"/>
              </w:rPr>
              <w:t>(p</w:t>
            </w:r>
            <w:r w:rsidR="003D450F" w:rsidRPr="00BF2DBA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7449CA" w:rsidRPr="00BF2DBA">
              <w:rPr>
                <w:rFonts w:ascii="Times New Roman" w:hAnsi="Times New Roman" w:cs="Times New Roman"/>
                <w:sz w:val="26"/>
                <w:szCs w:val="26"/>
              </w:rPr>
              <w:t>erdere</w:t>
            </w:r>
            <w:r w:rsidR="00C75CB0" w:rsidRPr="00BF2DB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E4F72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a fost estimat </w:t>
            </w:r>
            <w:r w:rsidR="00C75CB0" w:rsidRPr="00BF2DBA">
              <w:rPr>
                <w:rFonts w:ascii="Times New Roman" w:hAnsi="Times New Roman" w:cs="Times New Roman"/>
                <w:sz w:val="26"/>
                <w:szCs w:val="26"/>
              </w:rPr>
              <w:t>în valoare de</w:t>
            </w:r>
            <w:r w:rsidR="007449CA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9.940</w:t>
            </w:r>
            <w:r w:rsidR="00F20DD2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5CB0" w:rsidRPr="00BF2DBA">
              <w:rPr>
                <w:rFonts w:ascii="Times New Roman" w:hAnsi="Times New Roman" w:cs="Times New Roman"/>
                <w:sz w:val="26"/>
                <w:szCs w:val="26"/>
              </w:rPr>
              <w:t>mii lei.</w:t>
            </w:r>
            <w:r w:rsidRPr="00BF2DBA">
              <w:rPr>
                <w:rFonts w:ascii="Times New Roman" w:hAnsi="Times New Roman" w:cs="Times New Roman"/>
                <w:bCs/>
                <w:color w:val="00008B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60BC8C6" w14:textId="7B783DD8" w:rsidR="00DC1FDE" w:rsidRPr="00BF2DBA" w:rsidRDefault="008B48C2" w:rsidP="00BF2DBA">
            <w:pPr>
              <w:tabs>
                <w:tab w:val="left" w:pos="990"/>
                <w:tab w:val="left" w:pos="3960"/>
              </w:tabs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Comparativ cu indicatorii economico</w:t>
            </w:r>
            <w:r w:rsidR="00683036" w:rsidRPr="00BF2D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BF2D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="00683036" w:rsidRPr="00BF2D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BF2D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financiari aprobați în bugetul de venituri și c</w:t>
            </w:r>
            <w:r w:rsidR="00683036" w:rsidRPr="00BF2D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heltuieli inițial pe anul 202</w:t>
            </w:r>
            <w:r w:rsidR="007449CA" w:rsidRPr="00BF2D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4,</w:t>
            </w:r>
            <w:r w:rsidRPr="00BF2D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prin HG nr. 5</w:t>
            </w:r>
            <w:r w:rsidR="007449CA" w:rsidRPr="00BF2D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48</w:t>
            </w:r>
            <w:r w:rsidRPr="00BF2D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/202</w:t>
            </w:r>
            <w:r w:rsidR="007449CA" w:rsidRPr="00BF2D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  <w:r w:rsidRPr="00BF2D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în proiectul bugetului de venituri și cheltuieli propus pentru rectificare în anul 202</w:t>
            </w:r>
            <w:r w:rsidR="007449CA" w:rsidRPr="00BF2D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  <w:r w:rsidRPr="00BF2D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au fost programate modificări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atât în structura veniturilor totale şi  a cheltuielilor </w:t>
            </w:r>
            <w:r w:rsidR="005B26D1" w:rsidRPr="00BF2DBA">
              <w:rPr>
                <w:rFonts w:ascii="Times New Roman" w:hAnsi="Times New Roman" w:cs="Times New Roman"/>
                <w:sz w:val="26"/>
                <w:szCs w:val="26"/>
              </w:rPr>
              <w:t>totale</w:t>
            </w:r>
            <w:r w:rsidR="002B7BC5" w:rsidRPr="00BF2D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cât și în programul de investiții, surse și cheltuieli de investiții, modificări care</w:t>
            </w:r>
            <w:r w:rsidR="002B7BC5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au fost reflectate în anexele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la proiectul de buget de venituri și cheltuieli rectificat pe anul 202</w:t>
            </w:r>
            <w:r w:rsidR="007449CA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D222DD8" w14:textId="0328B923" w:rsidR="00D31B6B" w:rsidRPr="00BF2DBA" w:rsidRDefault="00D31B6B" w:rsidP="00BF2DBA">
            <w:pPr>
              <w:tabs>
                <w:tab w:val="left" w:pos="990"/>
                <w:tab w:val="left" w:pos="396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Veni</w:t>
            </w:r>
            <w:r w:rsidR="00C44789" w:rsidRPr="00BF2DBA">
              <w:rPr>
                <w:rFonts w:ascii="Times New Roman" w:hAnsi="Times New Roman" w:cs="Times New Roman"/>
                <w:sz w:val="26"/>
                <w:szCs w:val="26"/>
              </w:rPr>
              <w:t>turile totale</w:t>
            </w:r>
            <w:r w:rsidR="005358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4789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BC5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în valoare de </w:t>
            </w:r>
            <w:r w:rsidR="007449CA" w:rsidRPr="00BF2DBA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="006F14D0"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449CA" w:rsidRPr="00BF2DBA">
              <w:rPr>
                <w:rFonts w:ascii="Times New Roman" w:hAnsi="Times New Roman" w:cs="Times New Roman"/>
                <w:sz w:val="26"/>
                <w:szCs w:val="26"/>
              </w:rPr>
              <w:t>791</w:t>
            </w:r>
            <w:r w:rsidR="002B7BC5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mii lei</w:t>
            </w:r>
            <w:r w:rsidR="005358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142D5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4789" w:rsidRPr="00BF2DBA">
              <w:rPr>
                <w:rFonts w:ascii="Times New Roman" w:hAnsi="Times New Roman" w:cs="Times New Roman"/>
                <w:sz w:val="26"/>
                <w:szCs w:val="26"/>
              </w:rPr>
              <w:t>au fost estimate î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="00F142D5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creștere cu </w:t>
            </w:r>
            <w:r w:rsidR="007449CA" w:rsidRPr="00BF2D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F14D0" w:rsidRPr="00BF2D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449CA" w:rsidRPr="00BF2D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F14D0" w:rsidRPr="00BF2D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142D5" w:rsidRPr="00BF2DBA">
              <w:rPr>
                <w:rFonts w:ascii="Times New Roman" w:hAnsi="Times New Roman" w:cs="Times New Roman"/>
                <w:sz w:val="26"/>
                <w:szCs w:val="26"/>
              </w:rPr>
              <w:t>%,</w:t>
            </w:r>
            <w:r w:rsidR="005B26D1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resp</w:t>
            </w:r>
            <w:r w:rsidR="00F142D5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ectiv cu suma de </w:t>
            </w:r>
            <w:r w:rsidR="007449CA" w:rsidRPr="00BF2D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F14D0"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449CA" w:rsidRPr="00BF2DBA">
              <w:rPr>
                <w:rFonts w:ascii="Times New Roman" w:hAnsi="Times New Roman" w:cs="Times New Roman"/>
                <w:sz w:val="26"/>
                <w:szCs w:val="26"/>
              </w:rPr>
              <w:t>522</w:t>
            </w:r>
            <w:r w:rsidR="00F142D5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mii lei față de bugetu</w:t>
            </w:r>
            <w:r w:rsidR="002B7BC5" w:rsidRPr="00BF2DBA">
              <w:rPr>
                <w:rFonts w:ascii="Times New Roman" w:hAnsi="Times New Roman" w:cs="Times New Roman"/>
                <w:sz w:val="26"/>
                <w:szCs w:val="26"/>
              </w:rPr>
              <w:t>l de venituri și cheltuieli iniț</w:t>
            </w:r>
            <w:r w:rsidR="00F142D5" w:rsidRPr="00BF2DBA">
              <w:rPr>
                <w:rFonts w:ascii="Times New Roman" w:hAnsi="Times New Roman" w:cs="Times New Roman"/>
                <w:sz w:val="26"/>
                <w:szCs w:val="26"/>
              </w:rPr>
              <w:t>ial aprobat pe anul 202</w:t>
            </w:r>
            <w:r w:rsidR="007449CA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42D5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prin HG nr.</w:t>
            </w:r>
            <w:r w:rsidR="002B7BC5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49CA" w:rsidRPr="00BF2DBA">
              <w:rPr>
                <w:rFonts w:ascii="Times New Roman" w:hAnsi="Times New Roman" w:cs="Times New Roman"/>
                <w:sz w:val="26"/>
                <w:szCs w:val="26"/>
              </w:rPr>
              <w:t>548/2024</w:t>
            </w:r>
            <w:r w:rsidR="00F142D5"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B26D1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14:paraId="636CF436" w14:textId="5F629969" w:rsidR="0085377D" w:rsidRPr="00BF2DBA" w:rsidRDefault="006D4698" w:rsidP="00BF2DBA">
            <w:pPr>
              <w:tabs>
                <w:tab w:val="left" w:pos="990"/>
                <w:tab w:val="left" w:pos="396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Î</w:t>
            </w:r>
            <w:r w:rsidR="00650B1D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n </w:t>
            </w:r>
            <w:r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categoria </w:t>
            </w:r>
            <w:r w:rsidR="00650B1D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venituril</w:t>
            </w:r>
            <w:r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or</w:t>
            </w:r>
            <w:r w:rsidR="00650B1D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totale, v</w:t>
            </w:r>
            <w:r w:rsidR="0085377D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eniturile din exploatare </w:t>
            </w:r>
            <w:r w:rsidR="00650B1D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au o pondere de 99,9</w:t>
            </w:r>
            <w:r w:rsidR="007449CA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  <w:r w:rsidR="00650B1D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% iar veniturile financiare au o pondere de 0,0</w:t>
            </w:r>
            <w:r w:rsidR="007449CA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  <w:r w:rsidR="00650B1D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%.</w:t>
            </w:r>
          </w:p>
          <w:p w14:paraId="12DA3905" w14:textId="4C532C0F" w:rsidR="00EA404A" w:rsidRPr="00BF2DBA" w:rsidRDefault="00C44789" w:rsidP="00BF2DBA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În structură</w:t>
            </w:r>
            <w:r w:rsidR="00D31B6B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, v</w:t>
            </w:r>
            <w:r w:rsidR="005B26D1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eniturile </w:t>
            </w:r>
            <w:r w:rsidR="00021A58" w:rsidRPr="00BF2DBA">
              <w:rPr>
                <w:rFonts w:ascii="Times New Roman" w:hAnsi="Times New Roman" w:cs="Times New Roman"/>
                <w:sz w:val="26"/>
                <w:szCs w:val="26"/>
              </w:rPr>
              <w:t>din exploatare</w:t>
            </w:r>
            <w:r w:rsidR="005358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21A58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469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î</w:t>
            </w:r>
            <w:r w:rsidR="00021A5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n valoare de </w:t>
            </w:r>
            <w:r w:rsidR="007449CA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79</w:t>
            </w:r>
            <w:r w:rsidR="00021A5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="007449CA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763</w:t>
            </w:r>
            <w:r w:rsidR="00F20DD2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mii lei, au fost estimate î</w:t>
            </w:r>
            <w:r w:rsidR="00021A5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n cre</w:t>
            </w:r>
            <w:r w:rsidR="006D469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ș</w:t>
            </w:r>
            <w:r w:rsidR="00021A5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tere cu </w:t>
            </w:r>
            <w:r w:rsidR="007449CA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  <w:r w:rsidR="00021A5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 w:rsidR="007449CA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60</w:t>
            </w:r>
            <w:r w:rsidR="00021A5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%, respectiv cu suma de </w:t>
            </w:r>
            <w:r w:rsidR="007449CA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="00021A5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="007449CA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774</w:t>
            </w:r>
            <w:r w:rsidR="00021A5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mii lei iar veniturile financiare </w:t>
            </w:r>
            <w:r w:rsidR="006D469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î</w:t>
            </w:r>
            <w:r w:rsidR="00021A5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n valoare de 2</w:t>
            </w:r>
            <w:r w:rsidR="007449CA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  <w:r w:rsidR="00021A5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mii lei</w:t>
            </w:r>
            <w:r w:rsidR="006D469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, au fost estimate î</w:t>
            </w:r>
            <w:r w:rsidR="00021A5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n sc</w:t>
            </w:r>
            <w:r w:rsidR="006D469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ă</w:t>
            </w:r>
            <w:r w:rsidR="00021A5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dere cu </w:t>
            </w:r>
            <w:r w:rsidR="007449CA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  <w:r w:rsidR="00021A5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0%, respectiv cu suma de 2</w:t>
            </w:r>
            <w:r w:rsidR="007449CA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>52</w:t>
            </w:r>
            <w:r w:rsidR="00021A58" w:rsidRPr="00BF2D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mii lei.</w:t>
            </w:r>
          </w:p>
          <w:p w14:paraId="5C5A9E5C" w14:textId="1039A2C5" w:rsidR="006D5383" w:rsidRPr="00BF2DBA" w:rsidRDefault="006D5383" w:rsidP="00BF2DB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Cheltuielile totale</w:t>
            </w:r>
            <w:r w:rsidR="00CF6EB5"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,</w:t>
            </w:r>
            <w:r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în valoare de </w:t>
            </w:r>
            <w:r w:rsidR="00CF6EB5"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89.598</w:t>
            </w:r>
            <w:r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,</w:t>
            </w:r>
            <w:r w:rsidR="00CF6EB5"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37</w:t>
            </w:r>
            <w:r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mii lei, au fost estimate în creștere cu 2,</w:t>
            </w:r>
            <w:r w:rsidR="00CF6EB5"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74</w:t>
            </w:r>
            <w:r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%  respectiv cu suma de </w:t>
            </w:r>
            <w:r w:rsidR="00CF6EB5"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2.389,37 </w:t>
            </w:r>
            <w:r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mii lei.</w:t>
            </w:r>
            <w:r w:rsidRPr="00BF2DB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1B7A08AA" w14:textId="6F187B32" w:rsidR="006D5383" w:rsidRPr="00BF2DBA" w:rsidRDefault="006D5383" w:rsidP="00BF2DB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În structura cheltuielilor totale, cheltuielile de exploatare</w:t>
            </w:r>
            <w:r w:rsidR="005C0D33"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dețin o pondere 9</w:t>
            </w:r>
            <w:r w:rsidR="00CF6EB5"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</w:t>
            </w:r>
            <w:r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</w:t>
            </w:r>
            <w:r w:rsidR="00CF6EB5"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</w:t>
            </w:r>
            <w:r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6%</w:t>
            </w:r>
            <w:r w:rsidR="00CF6EB5"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r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iar cheltuielile financiare dețin o pondere de </w:t>
            </w:r>
            <w:r w:rsidR="00CF6EB5"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</w:t>
            </w:r>
            <w:r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</w:t>
            </w:r>
            <w:r w:rsidR="00CF6EB5"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54</w:t>
            </w:r>
            <w:r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%.</w:t>
            </w:r>
          </w:p>
          <w:p w14:paraId="66BAA876" w14:textId="721C8E7B" w:rsidR="002F44A4" w:rsidRPr="00BF2DBA" w:rsidRDefault="002F44A4" w:rsidP="00BF2DBA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  <w:highlight w:val="yellow"/>
              </w:rPr>
            </w:pPr>
            <w:r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Cheltuielile de exploatare</w:t>
            </w:r>
            <w:r w:rsidR="00CF6EB5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,</w:t>
            </w:r>
            <w:r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în valoare de </w:t>
            </w:r>
            <w:r w:rsidR="00CF6EB5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84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.</w:t>
            </w:r>
            <w:r w:rsidR="00CF6EB5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63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8,</w:t>
            </w:r>
            <w:r w:rsidR="00CF6EB5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37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 mii lei au fost estimate în creștere cu </w:t>
            </w:r>
            <w:r w:rsidR="00CF6EB5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3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,</w:t>
            </w:r>
            <w:r w:rsidR="00CF6EB5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90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%, respectiv cu suma de </w:t>
            </w:r>
            <w:r w:rsidR="00CF6EB5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3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.</w:t>
            </w:r>
            <w:r w:rsidR="00CF6EB5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179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,</w:t>
            </w:r>
            <w:r w:rsidR="00CF6EB5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37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 mii lei, față de nivelul aprobat în bugetul de venituri și cheltuieli inițial pe anul 202</w:t>
            </w:r>
            <w:r w:rsidR="00CF6EB5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, prin HG nr. </w:t>
            </w:r>
            <w:r w:rsidR="007449CA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548/2024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.</w:t>
            </w:r>
          </w:p>
          <w:p w14:paraId="16C6E137" w14:textId="597D793E" w:rsidR="002F44A4" w:rsidRPr="00BF2DBA" w:rsidRDefault="002F44A4" w:rsidP="00BF2DB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Cheltuielile financiare</w:t>
            </w:r>
            <w:r w:rsidR="00535887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,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 în valoare de </w:t>
            </w:r>
            <w:r w:rsidR="00CF6EB5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4</w:t>
            </w:r>
            <w:r w:rsidR="005A0027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.</w:t>
            </w:r>
            <w:r w:rsidR="00CF6EB5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960</w:t>
            </w:r>
            <w:r w:rsidR="001D3073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 mii lei</w:t>
            </w:r>
            <w:r w:rsidR="00535887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,</w:t>
            </w:r>
            <w:r w:rsidR="001D3073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 au fost estimate î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n </w:t>
            </w:r>
            <w:r w:rsidR="00EC24B8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scădere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 cu </w:t>
            </w:r>
            <w:r w:rsidR="00EC24B8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1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3,</w:t>
            </w:r>
            <w:r w:rsidR="00EC24B8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74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%, resp</w:t>
            </w:r>
            <w:r w:rsidR="001D3073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ectiv cu suma de </w:t>
            </w:r>
            <w:r w:rsidR="00EC24B8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790</w:t>
            </w:r>
            <w:r w:rsidR="001D3073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 mii lei față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 de nivelul aprobat în bugetul de venituri și cheltuieli inițial pe anul 202</w:t>
            </w:r>
            <w:r w:rsidR="00EC24B8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, prin HG nr.</w:t>
            </w:r>
            <w:r w:rsidR="00EC24B8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 </w:t>
            </w:r>
            <w:r w:rsidR="007449CA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548/2024</w:t>
            </w:r>
            <w:r w:rsidR="005A0027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.</w:t>
            </w:r>
          </w:p>
          <w:p w14:paraId="5DEDB002" w14:textId="3DA11D09" w:rsidR="0075503F" w:rsidRPr="00BF2DBA" w:rsidRDefault="006D5383" w:rsidP="00BF2DBA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În structura cheltuielilor de exploatare</w:t>
            </w:r>
            <w:r w:rsidR="00535887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,</w:t>
            </w:r>
            <w:r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în valoare de </w:t>
            </w:r>
            <w:r w:rsidR="00774819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84</w:t>
            </w:r>
            <w:r w:rsidR="002F44A4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.</w:t>
            </w:r>
            <w:r w:rsidR="00774819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638</w:t>
            </w:r>
            <w:r w:rsidR="002F44A4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,</w:t>
            </w:r>
            <w:r w:rsidR="00774819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37</w:t>
            </w:r>
            <w:r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mii lei,</w:t>
            </w:r>
            <w:r w:rsidR="0075503F"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cheltuielile cu bunuri și servicii, în valoare de 26.343 mii lei, </w:t>
            </w:r>
            <w:r w:rsidR="0075503F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au fost estimate în creștere cu 2,22</w:t>
            </w:r>
            <w:r w:rsidR="0075503F"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%,  </w:t>
            </w:r>
            <w:r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="0075503F"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 xml:space="preserve">cheltuielile cu impozite, taxe și vărsaminte asimilate au rămas la valoarea de 2.700 mii lei aprobată inițial, </w:t>
            </w:r>
            <w:r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cheltuielile cu personalul în valoare de </w:t>
            </w:r>
            <w:r w:rsidR="0075503F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23</w:t>
            </w:r>
            <w:r w:rsidR="002F44A4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.</w:t>
            </w:r>
            <w:r w:rsidR="0075503F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680</w:t>
            </w:r>
            <w:r w:rsidR="002F44A4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,</w:t>
            </w:r>
            <w:r w:rsidR="0075503F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3</w:t>
            </w:r>
            <w:r w:rsidR="002F44A4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7</w:t>
            </w:r>
            <w:r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mii lei, au fost estimate în creștere cu </w:t>
            </w:r>
            <w:r w:rsidR="0075503F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1</w:t>
            </w:r>
            <w:r w:rsidR="002F44A4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,</w:t>
            </w:r>
            <w:r w:rsidR="0075503F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01</w:t>
            </w:r>
            <w:r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%, respectiv cu suma de </w:t>
            </w:r>
            <w:r w:rsidR="0075503F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236,37</w:t>
            </w:r>
            <w:r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mii lei față de cele aprobate în bugetul de venituri și cheltuieli pe anul 202</w:t>
            </w:r>
            <w:r w:rsidR="0075503F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4</w:t>
            </w:r>
            <w:r w:rsidR="005E42DC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, </w:t>
            </w:r>
            <w:r w:rsidR="0075503F"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iar indicatorul “a</w:t>
            </w:r>
            <w:r w:rsidR="0075503F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lte cheltuieli de exploatare” în valoare de </w:t>
            </w:r>
            <w:r w:rsidR="005E42DC" w:rsidRPr="00BF2DBA">
              <w:rPr>
                <w:rFonts w:ascii="Times New Roman" w:hAnsi="Times New Roman" w:cs="Times New Roman"/>
                <w:sz w:val="26"/>
                <w:szCs w:val="26"/>
              </w:rPr>
              <w:t>31.915</w:t>
            </w:r>
            <w:r w:rsidR="0075503F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mii lei, </w:t>
            </w:r>
            <w:r w:rsidR="005E42DC" w:rsidRPr="00BF2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au fost estimate în creștere cu 8,03% față de nivelul aprobat inițial al acestora, prin HG nr. 548/2024</w:t>
            </w:r>
            <w:r w:rsidR="0075503F"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5503F" w:rsidRPr="00BF2D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3DA27344" w14:textId="1A6626E5" w:rsidR="00B54809" w:rsidRPr="00BF2DBA" w:rsidRDefault="00B54809" w:rsidP="00BF2DBA">
            <w:pPr>
              <w:pStyle w:val="Listparagraf"/>
              <w:numPr>
                <w:ilvl w:val="0"/>
                <w:numId w:val="10"/>
              </w:numPr>
              <w:tabs>
                <w:tab w:val="left" w:pos="0"/>
              </w:tabs>
              <w:spacing w:after="0"/>
              <w:ind w:left="-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Cheltuielile de natură salarială, în valoare de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097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mii lei,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au rămas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la nivelul aprobat inițial prin bugetul de venituri și cheltuieli pe anul 2024, prin HG nr. 5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/2024.</w:t>
            </w:r>
          </w:p>
          <w:p w14:paraId="6C07CEB2" w14:textId="3F710650" w:rsidR="00665A5E" w:rsidRPr="00BF2DBA" w:rsidRDefault="0083366A" w:rsidP="00BF2DB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</w:pPr>
            <w:r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Cheltuielile aferente contractului de mandat pentr</w:t>
            </w:r>
            <w:r w:rsidR="006C1790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u directorat</w:t>
            </w:r>
            <w:r w:rsidR="00B54809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 xml:space="preserve"> și a altor </w:t>
            </w:r>
            <w:r w:rsidR="00B54809" w:rsidRPr="00BF2DBA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GB"/>
              </w:rPr>
              <w:t>organe de control și comisii</w:t>
            </w:r>
            <w:r w:rsidR="006C1790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,</w:t>
            </w:r>
            <w:r w:rsidR="00665A5E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 xml:space="preserve"> în valoare de 1.083,37 mii lei,</w:t>
            </w:r>
            <w:r w:rsidR="006C1790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 xml:space="preserve"> au fost estimate î</w:t>
            </w:r>
            <w:r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n cre</w:t>
            </w:r>
            <w:r w:rsidR="006C1790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ș</w:t>
            </w:r>
            <w:r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 xml:space="preserve">tere cu </w:t>
            </w:r>
            <w:r w:rsidR="00C46AC1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27,91</w:t>
            </w:r>
            <w:r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 xml:space="preserve">%, respectiv cu suma de </w:t>
            </w:r>
            <w:r w:rsidR="00C46AC1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236</w:t>
            </w:r>
            <w:r w:rsidR="00496BCE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,</w:t>
            </w:r>
            <w:r w:rsidR="00C46AC1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37</w:t>
            </w:r>
            <w:r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 xml:space="preserve"> mii lei, </w:t>
            </w:r>
            <w:r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față de nivelul aprobat în </w:t>
            </w:r>
            <w:r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bugetul de venituri și cheltuieli inițial pe anul 202</w:t>
            </w:r>
            <w:r w:rsidR="00C46AC1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4</w:t>
            </w:r>
            <w:r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 xml:space="preserve"> prin HG nr. </w:t>
            </w:r>
            <w:r w:rsidR="007449CA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548/2024</w:t>
            </w:r>
            <w:r w:rsidR="00B54809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 xml:space="preserve">, în </w:t>
            </w:r>
            <w:r w:rsidR="0067556F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 xml:space="preserve">principal în </w:t>
            </w:r>
            <w:r w:rsidR="00B54809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 xml:space="preserve">urma </w:t>
            </w:r>
            <w:r w:rsidR="0067556F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prevederii sumelor necesare pentru recertificarea aeroportului</w:t>
            </w:r>
            <w:r w:rsidR="00665A5E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,</w:t>
            </w:r>
            <w:r w:rsidR="0067556F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 xml:space="preserve"> </w:t>
            </w:r>
            <w:r w:rsidR="00665A5E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potrivit OMTI nr. 749/07.03.2024</w:t>
            </w:r>
            <w:r w:rsidR="00665A5E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 xml:space="preserve">, </w:t>
            </w:r>
            <w:r w:rsidR="0067556F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în urma stabilirii comisiei de reevaluare a Aeroportului Internațional Timișoara</w:t>
            </w:r>
            <w:r w:rsidR="00665A5E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 xml:space="preserve">. Contractele de mandat au fost încheiate pe perioadă provizorie, cu posibilitatea de prelungire. </w:t>
            </w:r>
          </w:p>
          <w:p w14:paraId="7752F99B" w14:textId="15029429" w:rsidR="00665A5E" w:rsidRPr="00BF2DBA" w:rsidRDefault="00665A5E" w:rsidP="00BF2DB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eastAsia="en-GB"/>
              </w:rPr>
            </w:pP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Alte cheltuieli de exploatare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, în valoare de 31.915 mii lei,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 au fost programate în 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creștere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 cu 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8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,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03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%, respectiv cu 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2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.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371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 mii lei, față de nivelul aprobat inițial, prin HG nr. 5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48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/2024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,</w:t>
            </w:r>
            <w:r w:rsidR="00D50096"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 având în vedere faptul că au fost recepționate imobilizări corporale, ca urmare a punerii în funcțiune a proiectelor finanțate integral sau cu cofinanțarea societății prin axa POIM 2014-2020.</w:t>
            </w:r>
            <w:r w:rsidRPr="00BF2DBA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  </w:t>
            </w:r>
          </w:p>
          <w:p w14:paraId="4739DBBF" w14:textId="4032E0C7" w:rsidR="00AB355F" w:rsidRPr="00BF2DBA" w:rsidRDefault="00AB355F" w:rsidP="00BF2DB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</w:pPr>
            <w:r w:rsidRPr="00BF2D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Rezultatul brut </w:t>
            </w:r>
            <w:r w:rsidR="00C46AC1" w:rsidRPr="00BF2DBA">
              <w:rPr>
                <w:rFonts w:ascii="Times New Roman" w:eastAsia="Times New Roman" w:hAnsi="Times New Roman" w:cs="Times New Roman"/>
                <w:sz w:val="26"/>
                <w:szCs w:val="26"/>
              </w:rPr>
              <w:t>(pierdere)</w:t>
            </w:r>
            <w:r w:rsidR="00416672" w:rsidRPr="00BF2DBA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în valoare de</w:t>
            </w:r>
            <w:r w:rsidR="006C1790"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46AC1"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9.807,37</w:t>
            </w:r>
            <w:r w:rsidR="006C1790"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mii lei</w:t>
            </w:r>
            <w:r w:rsidR="00416672"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6C1790"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 fost estimat î</w:t>
            </w:r>
            <w:r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 </w:t>
            </w:r>
            <w:r w:rsidR="00C46AC1"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scăd</w:t>
            </w:r>
            <w:r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ere cu </w:t>
            </w:r>
            <w:r w:rsidR="00C46AC1"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0433B"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C46AC1"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  <w:r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%, respecti</w:t>
            </w:r>
            <w:r w:rsidR="006C1790"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 cu suma de </w:t>
            </w:r>
            <w:r w:rsidR="00C46AC1"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  <w:r w:rsidR="00D0433B"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C46AC1"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  <w:r w:rsidR="006C1790"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mii lei față</w:t>
            </w:r>
            <w:r w:rsidRPr="00BF2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de nivelul aprobat în </w:t>
            </w:r>
            <w:r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bugetul de venituri și cheltuieli inițial pe anul 202</w:t>
            </w:r>
            <w:r w:rsidR="00C46AC1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4</w:t>
            </w:r>
            <w:r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 xml:space="preserve">, prin HG nr. </w:t>
            </w:r>
            <w:r w:rsidR="007449CA"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548/2024</w:t>
            </w:r>
            <w:r w:rsidRPr="00BF2DBA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en-GB"/>
              </w:rPr>
              <w:t>.</w:t>
            </w:r>
          </w:p>
          <w:p w14:paraId="151E6170" w14:textId="169AE4CC" w:rsidR="00C46AC1" w:rsidRPr="00BF2DBA" w:rsidRDefault="0054719F" w:rsidP="00BF2DB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Sursele de finanțare a investițiilor  în valoare de </w:t>
            </w:r>
            <w:r w:rsidR="00C46AC1" w:rsidRPr="00BF2DB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656E1"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46AC1" w:rsidRPr="00BF2DBA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  <w:r w:rsidR="00101D76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mii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lei, propuse în proiectul de buget de venituri și cheltuieli rectificat pe anul 202</w:t>
            </w:r>
            <w:r w:rsidR="00C46AC1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, au fost estimate în </w:t>
            </w:r>
            <w:r w:rsidR="00C46AC1" w:rsidRPr="00BF2DBA">
              <w:rPr>
                <w:rFonts w:ascii="Times New Roman" w:hAnsi="Times New Roman" w:cs="Times New Roman"/>
                <w:sz w:val="26"/>
                <w:szCs w:val="26"/>
              </w:rPr>
              <w:t>scăde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re</w:t>
            </w:r>
            <w:r w:rsidR="008656E1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6AC1" w:rsidRPr="00BF2DBA">
              <w:rPr>
                <w:rFonts w:ascii="Times New Roman" w:hAnsi="Times New Roman" w:cs="Times New Roman"/>
                <w:sz w:val="26"/>
                <w:szCs w:val="26"/>
              </w:rPr>
              <w:t>cu 58,6</w:t>
            </w:r>
            <w:r w:rsidR="008656E1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7%,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față de cele aprobate în bugetul de venituri și cheltuieli inițial pe anul 202</w:t>
            </w:r>
            <w:r w:rsidR="00C46AC1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, prin HG nr.</w:t>
            </w:r>
            <w:r w:rsidR="006F1934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49CA" w:rsidRPr="00BF2DBA">
              <w:rPr>
                <w:rFonts w:ascii="Times New Roman" w:hAnsi="Times New Roman" w:cs="Times New Roman"/>
                <w:sz w:val="26"/>
                <w:szCs w:val="26"/>
              </w:rPr>
              <w:t>548/2024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44F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292D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În cadrul acestora, </w:t>
            </w:r>
            <w:r w:rsidR="00416672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a fost repartizată conform filei de buget transmise prin adresa nr. 3788/36692/07.10.2024, </w:t>
            </w:r>
            <w:r w:rsidR="00416672" w:rsidRPr="00BF2DBA">
              <w:rPr>
                <w:rFonts w:ascii="Times New Roman" w:hAnsi="Times New Roman" w:cs="Times New Roman"/>
                <w:sz w:val="26"/>
                <w:szCs w:val="26"/>
              </w:rPr>
              <w:t>suma de 1.978 mii lei</w:t>
            </w:r>
            <w:r w:rsidR="00416672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alocată în trimestrul IV al anului 2024, reprezentând surse din fonduri externe nerambursabile (programe din fondul european de dezvoltare) pentru finalizarea proiectului de investiții Terminal Plecări Schengen (curse externe).</w:t>
            </w:r>
          </w:p>
          <w:p w14:paraId="549E3BDD" w14:textId="400EC57E" w:rsidR="0054719F" w:rsidRPr="00BF2DBA" w:rsidRDefault="0054719F" w:rsidP="00BF2DB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Cheltuielile de investiții programate pentru anul 202</w:t>
            </w:r>
            <w:r w:rsidR="00C46AC1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, în valoare de </w:t>
            </w:r>
            <w:r w:rsidR="00C46AC1" w:rsidRPr="00BF2D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0642D"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46AC1" w:rsidRPr="00BF2DBA">
              <w:rPr>
                <w:rFonts w:ascii="Times New Roman" w:hAnsi="Times New Roman" w:cs="Times New Roman"/>
                <w:sz w:val="26"/>
                <w:szCs w:val="26"/>
              </w:rPr>
              <w:t>872</w:t>
            </w:r>
            <w:r w:rsidRPr="00BF2D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mii lei, propuse în proiectul de buget de venituri și cheltuieli rectificat pe anul 202</w:t>
            </w:r>
            <w:r w:rsidR="00C46AC1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, au fost estimate în </w:t>
            </w:r>
            <w:r w:rsidR="00C46AC1" w:rsidRPr="00BF2DBA">
              <w:rPr>
                <w:rFonts w:ascii="Times New Roman" w:hAnsi="Times New Roman" w:cs="Times New Roman"/>
                <w:sz w:val="26"/>
                <w:szCs w:val="26"/>
              </w:rPr>
              <w:t>procent de 27,78%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față de </w:t>
            </w:r>
            <w:r w:rsidR="00D8292D" w:rsidRPr="00BF2DBA">
              <w:rPr>
                <w:rFonts w:ascii="Times New Roman" w:hAnsi="Times New Roman" w:cs="Times New Roman"/>
                <w:sz w:val="26"/>
                <w:szCs w:val="26"/>
              </w:rPr>
              <w:t>valoarea</w:t>
            </w:r>
            <w:r w:rsidR="00C46AC1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aprobat</w:t>
            </w:r>
            <w:r w:rsidR="00D8292D" w:rsidRPr="00BF2DBA">
              <w:rPr>
                <w:rFonts w:ascii="Times New Roman" w:hAnsi="Times New Roman" w:cs="Times New Roman"/>
                <w:sz w:val="26"/>
                <w:szCs w:val="26"/>
              </w:rPr>
              <w:t>ă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în bugetul de venituri și cheltuieli inițial pe anul 202</w:t>
            </w:r>
            <w:r w:rsidR="00C46AC1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, prin HG nr.</w:t>
            </w:r>
            <w:r w:rsidR="006F1934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49CA" w:rsidRPr="00BF2DBA">
              <w:rPr>
                <w:rFonts w:ascii="Times New Roman" w:hAnsi="Times New Roman" w:cs="Times New Roman"/>
                <w:sz w:val="26"/>
                <w:szCs w:val="26"/>
              </w:rPr>
              <w:t>548/2024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46AC1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56B6420" w14:textId="24723E07" w:rsidR="0054719F" w:rsidRPr="00BF2DBA" w:rsidRDefault="0054719F" w:rsidP="00BF2DBA">
            <w:pPr>
              <w:tabs>
                <w:tab w:val="left" w:pos="-81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BF2DB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Indicatorii economico - financiari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cuprinși 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în proiectul bugetului de venituri și cheltuieli rectificat pe anul 202</w:t>
            </w:r>
            <w:r w:rsidR="00C46AC1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au următoarele valori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>:</w:t>
            </w:r>
          </w:p>
          <w:p w14:paraId="13ED0D79" w14:textId="6E27A020" w:rsidR="0054719F" w:rsidRPr="00BF2DBA" w:rsidRDefault="0054719F" w:rsidP="00BF2DBA">
            <w:pPr>
              <w:tabs>
                <w:tab w:val="left" w:pos="-81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productivitatea muncii</w:t>
            </w:r>
            <w:r w:rsidR="006F1934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6C1790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în unități valorice pe total personal mediu,  recalculată conform Legii anuale a bugetului de stat pe anul 202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  <w:r w:rsidR="006C1790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C1790" w:rsidRPr="00BF2D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legea nr.</w:t>
            </w:r>
            <w:r w:rsidR="003A79CE" w:rsidRPr="00BF2D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421</w:t>
            </w:r>
            <w:r w:rsidR="006C1790" w:rsidRPr="00BF2D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/202</w:t>
            </w:r>
            <w:r w:rsidR="003A79CE" w:rsidRPr="00BF2D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  <w:r w:rsidR="006C1790" w:rsidRPr="00BF2D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cu modificările și completările ulterioare</w:t>
            </w:r>
            <w:r w:rsidR="006C1790" w:rsidRPr="00BF2D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C1790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în valoare de 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312</w:t>
            </w:r>
            <w:r w:rsidR="00B12E9B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mii lei/persoană, a fost estimată în </w:t>
            </w:r>
            <w:r w:rsidR="006C1790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creș</w:t>
            </w:r>
            <w:r w:rsidR="00B12E9B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tere 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cu </w:t>
            </w:r>
            <w:r w:rsidR="00B12E9B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B12E9B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 față de cea realizată în anul 202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082A9960" w14:textId="751BFCB7" w:rsidR="0054719F" w:rsidRPr="00BF2DBA" w:rsidRDefault="0054719F" w:rsidP="00BF2DBA">
            <w:pPr>
              <w:tabs>
                <w:tab w:val="left" w:pos="-81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câștigul mediu lunar </w:t>
            </w:r>
            <w:r w:rsidRPr="00BF2D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pe salariat (lei/persoană) determinat pe baza cheltuielilor de natură salarială, recalculat conform Ordonanței Guvernului nr.</w:t>
            </w:r>
            <w:r w:rsidR="003A79CE" w:rsidRPr="00BF2D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26/2013 și a Legii anuale a bugetului de stat pe anul 202</w:t>
            </w:r>
            <w:r w:rsidR="003A79CE" w:rsidRPr="00BF2D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4 - </w:t>
            </w:r>
            <w:r w:rsidRPr="00BF2D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legea nr.</w:t>
            </w:r>
            <w:r w:rsidR="006F1934" w:rsidRPr="00BF2D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3A79CE" w:rsidRPr="00BF2D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42</w:t>
            </w:r>
            <w:r w:rsidRPr="00BF2D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1/202</w:t>
            </w:r>
            <w:r w:rsidR="003A79CE" w:rsidRPr="00BF2D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  <w:r w:rsidRPr="00BF2D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cu modificările și completările ulterioare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,  în valoare de </w:t>
            </w:r>
            <w:r w:rsidR="003A79CE" w:rsidRPr="00BF2D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12E9B"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A79CE" w:rsidRPr="00BF2DBA">
              <w:rPr>
                <w:rFonts w:ascii="Times New Roman" w:hAnsi="Times New Roman" w:cs="Times New Roman"/>
                <w:sz w:val="26"/>
                <w:szCs w:val="26"/>
              </w:rPr>
              <w:t>064</w:t>
            </w:r>
            <w:r w:rsidR="00B12E9B" w:rsidRPr="00BF2D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79CE" w:rsidRPr="00BF2DB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lei/salariat</w:t>
            </w:r>
            <w:r w:rsidR="006F1934" w:rsidRPr="00BF2D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 fost estimat în creștere cu 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B12E9B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 față de cel realizat în anul 202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654AB71D" w14:textId="26C74D46" w:rsidR="0054719F" w:rsidRPr="00BF2DBA" w:rsidRDefault="0054719F" w:rsidP="00BF2DBA">
            <w:pPr>
              <w:tabs>
                <w:tab w:val="left" w:pos="-81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 numărul de personal prognozat la finele anului 202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de </w:t>
            </w:r>
            <w:r w:rsidR="00B12E9B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salariați, </w:t>
            </w:r>
            <w:r w:rsidR="00BD2705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 fost estimat în creș</w:t>
            </w:r>
            <w:r w:rsidR="00101D76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tere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D2705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</w:t>
            </w:r>
            <w:r w:rsidR="00BD2705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de salariaț</w:t>
            </w:r>
            <w:r w:rsidR="00101D76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 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față de cel aprobat 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inițial 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în anul 202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01D76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prin HG nr.</w:t>
            </w:r>
            <w:r w:rsidR="006F1934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548/2024, </w:t>
            </w:r>
            <w:r w:rsidR="00D50096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în conformitate cu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prevederil</w:t>
            </w:r>
            <w:r w:rsidR="00D50096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legii nr. 296/2023 coroborate cu memorandumul de exceptare aprobat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7E5FB90F" w14:textId="7474286E" w:rsidR="0054719F" w:rsidRPr="00BF2DBA" w:rsidRDefault="0054719F" w:rsidP="00BF2DBA">
            <w:pPr>
              <w:tabs>
                <w:tab w:val="left" w:pos="-81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 numărul mediu de salariaţi</w:t>
            </w:r>
            <w:r w:rsidR="006F1934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de </w:t>
            </w:r>
            <w:r w:rsidR="00B12E9B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salariați, </w:t>
            </w:r>
            <w:r w:rsidR="00BD2705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în creș</w:t>
            </w:r>
            <w:r w:rsidR="00101D76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tere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D2705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cu </w:t>
            </w:r>
            <w:r w:rsidR="00B12E9B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BD2705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salariaț</w:t>
            </w:r>
            <w:r w:rsidR="00101D76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 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față de 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numărul realizat în anul 2023</w:t>
            </w:r>
            <w:r w:rsidR="00D50096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50096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 fost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menținut la nivelul aprobat inițial 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în anul 202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prin HG nr.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548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394B795F" w14:textId="2DEA6C53" w:rsidR="0054719F" w:rsidRPr="00BF2DBA" w:rsidRDefault="0054719F" w:rsidP="00BF2DB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- c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heltuielile totale la 1.000 lei venituri totale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în valoare de 1.122,91 lei, 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B02DB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au fost estimate </w:t>
            </w:r>
            <w:r w:rsidR="00E93A02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în </w:t>
            </w:r>
            <w:r w:rsidR="006C1790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scă</w:t>
            </w:r>
            <w:r w:rsidR="00EB62A9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dere </w:t>
            </w:r>
            <w:r w:rsidR="00E93A02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 0,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  <w:r w:rsidR="00E93A02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 față</w:t>
            </w:r>
            <w:r w:rsidR="00521D07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de </w:t>
            </w:r>
            <w:r w:rsidR="00EB62A9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nivelul </w:t>
            </w:r>
            <w:r w:rsidR="00D50096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inițial </w:t>
            </w:r>
            <w:r w:rsidR="006C1790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aprobat in bugetul de venituri și cheltuieli </w:t>
            </w:r>
            <w:r w:rsidR="00EB62A9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al anului 202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EB62A9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prin HG nr.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49CA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548/2024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1F7C1458" w14:textId="730CBE15" w:rsidR="0054719F" w:rsidRPr="00BF2DBA" w:rsidRDefault="0054719F" w:rsidP="00BF2DBA">
            <w:pPr>
              <w:tabs>
                <w:tab w:val="left" w:pos="-81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plăţile restante </w:t>
            </w:r>
            <w:r w:rsidR="00BB02DB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B62A9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societatea 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şi-a propus să nu înregistreze plăţi restante la data de 31.12.202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7E3EDCA5" w14:textId="05F7DF5F" w:rsidR="00EB62A9" w:rsidRPr="00BF2DBA" w:rsidRDefault="00BC7D6E" w:rsidP="00BF2DB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creanţele restante pentru anul 202</w:t>
            </w:r>
            <w:r w:rsidR="003A79CE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au fost estimate în </w:t>
            </w:r>
            <w:r w:rsidR="006C1790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scă</w:t>
            </w:r>
            <w:r w:rsidR="00EB62A9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dere cu 2</w:t>
            </w:r>
            <w:r w:rsidR="006D0B63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EB62A9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6D0B63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EB62A9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față </w:t>
            </w:r>
            <w:r w:rsidR="006C1790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 nivelul</w:t>
            </w:r>
            <w:r w:rsidR="006D0B63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realizat în anul 2023 și în creștere cu 13,64% față de valoarea aprobată inițial</w:t>
            </w:r>
            <w:r w:rsidR="006C1790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în bugetul de venituri ș</w:t>
            </w:r>
            <w:r w:rsidR="00EB62A9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cheltuieli prin HG nr.</w:t>
            </w:r>
            <w:r w:rsidR="006D0B63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49CA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548/2024</w:t>
            </w:r>
            <w:r w:rsidR="00EB62A9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0DC28B6C" w14:textId="1E02267A" w:rsidR="00BB02DB" w:rsidRPr="00BF2DBA" w:rsidRDefault="0054719F" w:rsidP="00BF2DB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- indicele de creştere al  cheltuielilor de </w:t>
            </w:r>
            <w:r w:rsidR="00EB62A9"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3</w:t>
            </w:r>
            <w:r w:rsidR="006D0B63"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9</w:t>
            </w:r>
            <w:r w:rsidR="00EB62A9"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,</w:t>
            </w:r>
            <w:r w:rsidR="006D0B63"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85</w:t>
            </w:r>
            <w:r w:rsidR="00EB62A9"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% este mai m</w:t>
            </w:r>
            <w:r w:rsidR="006D0B63"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are</w:t>
            </w:r>
            <w:r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decȃt indicele de creştere al veniturilor de </w:t>
            </w:r>
            <w:r w:rsidR="006D0B63"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2</w:t>
            </w:r>
            <w:r w:rsidR="00EB62A9"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4,</w:t>
            </w:r>
            <w:r w:rsidR="006D0B63"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3</w:t>
            </w:r>
            <w:r w:rsidR="00EB62A9"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%</w:t>
            </w:r>
            <w:r w:rsidR="00BF2DBA"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;</w:t>
            </w:r>
          </w:p>
          <w:p w14:paraId="0DF96DF5" w14:textId="3A09BE5D" w:rsidR="00BF2DBA" w:rsidRPr="00BF2DBA" w:rsidRDefault="00BF2DBA" w:rsidP="00BF2DB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- societatea a întocmit un proiect de buget de venituri și cheltuieli rectificat pe anul 2024 dezechilibrat, cu o pierdere estimată la valoarea de 9.807,37 mii lei, față de anul 2023, când a realizat un rezultat brut pozitiv în valoare de 103,41 mii lei.</w:t>
            </w:r>
          </w:p>
          <w:p w14:paraId="0AEA55FE" w14:textId="52EA9A20" w:rsidR="0054719F" w:rsidRPr="00BF2DBA" w:rsidRDefault="0054719F" w:rsidP="00BF2DBA">
            <w:pPr>
              <w:tabs>
                <w:tab w:val="left" w:pos="990"/>
                <w:tab w:val="left" w:pos="3960"/>
              </w:tabs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Proiectul bugetului de venituri și cheltuieli</w:t>
            </w:r>
            <w:r w:rsidR="00F007B9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rectificat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pe anul 202</w:t>
            </w:r>
            <w:r w:rsidR="006629D1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al </w:t>
            </w:r>
            <w:r w:rsidR="006C6A24" w:rsidRPr="00BF2DBA">
              <w:rPr>
                <w:rFonts w:ascii="Times New Roman" w:hAnsi="Times New Roman" w:cs="Times New Roman"/>
                <w:sz w:val="26"/>
                <w:szCs w:val="26"/>
              </w:rPr>
              <w:t>Societăţii Naţionale "Aeroportul Internaţional Timişoara - Traian Vuia" - S.A.</w:t>
            </w:r>
            <w:r w:rsidR="00F007B9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 fost supus controlului financiar de gestiune conform Hotărârii Guvernului nr. 1151/2012 pentru aprobarea normelor metodologice privind modul de organizare şi exercitare a controlului financiar de gestiune.</w:t>
            </w:r>
          </w:p>
          <w:p w14:paraId="5AF1A6C5" w14:textId="601F8AF6" w:rsidR="0054719F" w:rsidRPr="00BF2DBA" w:rsidRDefault="0054719F" w:rsidP="00BF2DBA">
            <w:pPr>
              <w:tabs>
                <w:tab w:val="left" w:pos="990"/>
                <w:tab w:val="left" w:pos="3960"/>
              </w:tabs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Proiectul bugetului de venituri și cheltuieli </w:t>
            </w:r>
            <w:r w:rsidR="00F007B9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rectificat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pe anul 202</w:t>
            </w:r>
            <w:r w:rsidR="006629D1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al </w:t>
            </w:r>
            <w:r w:rsidR="006C6A24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Societăţii Naţionale "Aeroportul Internaţional Timişoara - Traian Vuia" - S.A., </w:t>
            </w:r>
            <w:r w:rsidR="00544064" w:rsidRPr="00BF2DBA">
              <w:rPr>
                <w:rFonts w:ascii="Times New Roman" w:hAnsi="Times New Roman" w:cs="Times New Roman"/>
                <w:sz w:val="26"/>
                <w:szCs w:val="26"/>
              </w:rPr>
              <w:t>a fost</w:t>
            </w:r>
            <w:r w:rsidR="006C6A24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avizat</w:t>
            </w:r>
            <w:r w:rsidR="00544064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de către membrii  Consiliului de </w:t>
            </w:r>
            <w:r w:rsidR="00544064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Administrație prin </w:t>
            </w:r>
            <w:r w:rsidR="006C6A24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Decizia nr. </w:t>
            </w:r>
            <w:r w:rsidR="004B3B8C" w:rsidRPr="00BF2D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29D1" w:rsidRPr="00BF2D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B3B8C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4064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din data de </w:t>
            </w:r>
            <w:r w:rsidR="004B3B8C" w:rsidRPr="00BF2D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29D1" w:rsidRPr="00BF2D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44064"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629D1" w:rsidRPr="00BF2D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4064" w:rsidRPr="00BF2DBA">
              <w:rPr>
                <w:rFonts w:ascii="Times New Roman" w:hAnsi="Times New Roman" w:cs="Times New Roman"/>
                <w:sz w:val="26"/>
                <w:szCs w:val="26"/>
              </w:rPr>
              <w:t>0.202</w:t>
            </w:r>
            <w:r w:rsidR="006629D1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C6A24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3B8C" w:rsidRPr="00BF2DBA">
              <w:rPr>
                <w:rFonts w:ascii="Times New Roman" w:hAnsi="Times New Roman" w:cs="Times New Roman"/>
                <w:sz w:val="26"/>
                <w:szCs w:val="26"/>
              </w:rPr>
              <w:t>și</w:t>
            </w:r>
            <w:r w:rsidR="006C6A24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6F40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fost stabilit de către </w:t>
            </w:r>
            <w:r w:rsidR="006C6A24" w:rsidRPr="00BF2DBA">
              <w:rPr>
                <w:rFonts w:ascii="Times New Roman" w:hAnsi="Times New Roman" w:cs="Times New Roman"/>
                <w:sz w:val="26"/>
                <w:szCs w:val="26"/>
              </w:rPr>
              <w:t>membrii Adunarii Generale</w:t>
            </w:r>
            <w:r w:rsidR="00956F40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Ordinare</w:t>
            </w:r>
            <w:r w:rsidR="006C6A24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a Actionarilor prin </w:t>
            </w:r>
            <w:r w:rsidR="00956F40" w:rsidRPr="00BF2DBA">
              <w:rPr>
                <w:rFonts w:ascii="Times New Roman" w:hAnsi="Times New Roman" w:cs="Times New Roman"/>
                <w:sz w:val="26"/>
                <w:szCs w:val="26"/>
              </w:rPr>
              <w:t>Hotărârea nr</w:t>
            </w:r>
            <w:r w:rsidR="006C6A24"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6F40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29D1" w:rsidRPr="00BF2D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56F40" w:rsidRPr="00BF2DBA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  <w:r w:rsidR="006629D1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6F40" w:rsidRPr="00BF2DBA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6629D1" w:rsidRPr="00BF2D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56F40" w:rsidRPr="00BF2DB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6629D1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6F40"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2048AB3" w14:textId="0A9C2FA5" w:rsidR="00B44658" w:rsidRPr="00BF2DBA" w:rsidRDefault="0054719F" w:rsidP="00BF2DB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În conformitate cu art.</w:t>
            </w:r>
            <w:r w:rsidR="006F1934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alin. (1) din Ordonanța Guvernului nr. 26/2013, proiectul de buget de venituri şi cheltuieli rectificat</w:t>
            </w:r>
            <w:r w:rsidR="006F1934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pe anul 202</w:t>
            </w:r>
            <w:r w:rsidR="00B44658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865AB4"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 fost supus </w:t>
            </w:r>
            <w:r w:rsidR="00865AB4"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consultării </w:t>
            </w:r>
            <w:r w:rsidR="00B44658"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>Sindicatului Aeroportului Timișoara.</w:t>
            </w:r>
          </w:p>
          <w:p w14:paraId="70DDD2AB" w14:textId="1FF6CE00" w:rsidR="00710F5B" w:rsidRPr="00BF2DBA" w:rsidRDefault="0054719F" w:rsidP="00BF2DB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Precizăm că sumele sunt actualizate conform filei de buget aprobată de ordonatorul principal de credite din cadrul Ministerului Transporturilor și Infrastructurii, transmisă </w:t>
            </w:r>
            <w:r w:rsidRPr="00BF2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Ministerului Finanțelor cu adresa 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nr. </w:t>
            </w:r>
            <w:r w:rsidR="006E1425" w:rsidRPr="00BF2D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47378" w:rsidRPr="00BF2DBA">
              <w:rPr>
                <w:rFonts w:ascii="Times New Roman" w:hAnsi="Times New Roman" w:cs="Times New Roman"/>
                <w:sz w:val="26"/>
                <w:szCs w:val="26"/>
              </w:rPr>
              <w:t>788</w:t>
            </w:r>
            <w:r w:rsidR="006E1425" w:rsidRPr="00BF2DBA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347378" w:rsidRPr="00BF2DBA">
              <w:rPr>
                <w:rFonts w:ascii="Times New Roman" w:hAnsi="Times New Roman" w:cs="Times New Roman"/>
                <w:sz w:val="26"/>
                <w:szCs w:val="26"/>
              </w:rPr>
              <w:t>6692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47378" w:rsidRPr="00BF2DBA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47378" w:rsidRPr="00BF2D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>0.202</w:t>
            </w:r>
            <w:r w:rsidR="00347378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și înregistrată sub nr.</w:t>
            </w:r>
            <w:r w:rsidR="006E1425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2303" w:rsidRPr="00BF2DBA">
              <w:rPr>
                <w:rFonts w:ascii="Times New Roman" w:hAnsi="Times New Roman" w:cs="Times New Roman"/>
                <w:sz w:val="26"/>
                <w:szCs w:val="26"/>
              </w:rPr>
              <w:t>1033239</w:t>
            </w:r>
            <w:r w:rsidR="006E1425" w:rsidRPr="00BF2DBA">
              <w:rPr>
                <w:rFonts w:ascii="Times New Roman" w:hAnsi="Times New Roman" w:cs="Times New Roman"/>
                <w:sz w:val="26"/>
                <w:szCs w:val="26"/>
              </w:rPr>
              <w:t>/09.</w:t>
            </w:r>
            <w:r w:rsidR="00D02303" w:rsidRPr="00BF2DB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6E1425" w:rsidRPr="00BF2DB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02303" w:rsidRPr="00BF2D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E1425"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479AA" w:rsidRPr="00571A29" w14:paraId="22327516" w14:textId="77777777" w:rsidTr="00F77CA2">
        <w:tc>
          <w:tcPr>
            <w:tcW w:w="9316" w:type="dxa"/>
            <w:gridSpan w:val="8"/>
          </w:tcPr>
          <w:p w14:paraId="615A6919" w14:textId="77777777" w:rsidR="009A01E2" w:rsidRPr="00BF2DBA" w:rsidRDefault="00DC1FDE" w:rsidP="00BF2DBA">
            <w:pPr>
              <w:tabs>
                <w:tab w:val="left" w:pos="3960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3.</w:t>
            </w:r>
            <w:r w:rsidR="003479AA" w:rsidRPr="00BF2D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Alte informaţii</w:t>
            </w:r>
          </w:p>
          <w:p w14:paraId="647ECD0E" w14:textId="345BCB0B" w:rsidR="00202776" w:rsidRPr="00BF2DBA" w:rsidRDefault="00540A45" w:rsidP="00BF2DBA">
            <w:pPr>
              <w:tabs>
                <w:tab w:val="left" w:pos="990"/>
                <w:tab w:val="left" w:pos="3960"/>
              </w:tabs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În conformitate cu prevederile art. 4 alin. </w:t>
            </w:r>
            <w:r w:rsidR="00157582"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57582"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lit. a) din Ordonanța Guvernului nr. 26/2013 privind întărirea disciplinei financiare la nivelul unor operatori economici la care statul sau unitățile administrativ-teritoriale sunt acționari unici ori majoritari sau dețin direct ori indirect o participație majoritară, cu modificările şi completările ulterioare, bugetul de venituri și cheltuieli </w:t>
            </w:r>
            <w:r w:rsidR="00F007B9"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rectificat </w:t>
            </w:r>
            <w:r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>pe anul 202</w:t>
            </w:r>
            <w:r w:rsidR="00F96604"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14B00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Societăţii Naţionale "Aeroportul Internaţional Timişoara - Traian Vuia " - S.A., </w:t>
            </w:r>
            <w:r w:rsidR="005E09D4" w:rsidRPr="00BF2DBA">
              <w:rPr>
                <w:rFonts w:ascii="Times New Roman" w:hAnsi="Times New Roman" w:cs="Times New Roman"/>
                <w:sz w:val="26"/>
                <w:szCs w:val="26"/>
              </w:rPr>
              <w:t>ur</w:t>
            </w:r>
            <w:r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mează sa fie aprobat prin Hotărâre de Guvern. </w:t>
            </w:r>
          </w:p>
          <w:p w14:paraId="6F8D7E48" w14:textId="23E17A36" w:rsidR="003C2D5F" w:rsidRPr="00BF2DBA" w:rsidRDefault="00B02600" w:rsidP="00BF2DBA">
            <w:pPr>
              <w:tabs>
                <w:tab w:val="left" w:pos="990"/>
                <w:tab w:val="left" w:pos="3960"/>
              </w:tabs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>Realitatea datelor prezentate în proiectul bugetului de venituri și cheltuieli</w:t>
            </w:r>
            <w:r w:rsidR="00F007B9"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rectificat </w:t>
            </w:r>
            <w:r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pe anul 202</w:t>
            </w:r>
            <w:r w:rsidR="00F96604"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</w:t>
            </w:r>
            <w:r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>aparți</w:t>
            </w:r>
            <w:r w:rsidR="009449F6"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ne </w:t>
            </w:r>
            <w:r w:rsidRPr="00BF2D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organelor de conducere ale </w:t>
            </w:r>
            <w:r w:rsidR="00014B00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Societăţii Naţionale "Aeroportul Internaţional Timişoara - Traian Vuia" - S.A., </w:t>
            </w:r>
            <w:r w:rsidR="004F475D" w:rsidRPr="00BF2DBA">
              <w:rPr>
                <w:rFonts w:ascii="Times New Roman" w:hAnsi="Times New Roman" w:cs="Times New Roman"/>
                <w:sz w:val="26"/>
                <w:szCs w:val="26"/>
              </w:rPr>
              <w:t>aflată sub autoritat</w:t>
            </w:r>
            <w:r w:rsidR="009449F6" w:rsidRPr="00BF2DBA">
              <w:rPr>
                <w:rFonts w:ascii="Times New Roman" w:hAnsi="Times New Roman" w:cs="Times New Roman"/>
                <w:sz w:val="26"/>
                <w:szCs w:val="26"/>
              </w:rPr>
              <w:t>ea Ministerului Transporturilor și</w:t>
            </w:r>
            <w:r w:rsidR="004F475D" w:rsidRPr="00BF2DBA">
              <w:rPr>
                <w:rFonts w:ascii="Times New Roman" w:hAnsi="Times New Roman" w:cs="Times New Roman"/>
                <w:sz w:val="26"/>
                <w:szCs w:val="26"/>
              </w:rPr>
              <w:t xml:space="preserve"> Infrastructurii</w:t>
            </w:r>
            <w:r w:rsidR="009449F6" w:rsidRPr="00BF2D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479AA" w:rsidRPr="00571A29" w14:paraId="6D6D4918" w14:textId="77777777" w:rsidTr="00F77CA2">
        <w:tc>
          <w:tcPr>
            <w:tcW w:w="9316" w:type="dxa"/>
            <w:gridSpan w:val="8"/>
          </w:tcPr>
          <w:p w14:paraId="2AC04152" w14:textId="2519D47C" w:rsidR="00AA3695" w:rsidRDefault="006F1934" w:rsidP="006F1934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</w:t>
            </w:r>
          </w:p>
          <w:p w14:paraId="53CB43B2" w14:textId="2ED8CD1E" w:rsidR="003479AA" w:rsidRPr="002434BD" w:rsidRDefault="00AA3695" w:rsidP="006F1934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</w:t>
            </w:r>
            <w:r w:rsidR="006F19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</w:t>
            </w:r>
            <w:r w:rsidR="003479AA"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Secţiunea a 3-a</w:t>
            </w:r>
          </w:p>
          <w:p w14:paraId="60248C91" w14:textId="77777777" w:rsidR="00AA3695" w:rsidRDefault="003479AA" w:rsidP="003D03DA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Impactul socio-economic al proiectului de act normativ</w:t>
            </w:r>
          </w:p>
          <w:p w14:paraId="2EBEEBEA" w14:textId="73B43938" w:rsidR="001879FA" w:rsidRPr="002434BD" w:rsidRDefault="001879FA" w:rsidP="003D03DA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479AA" w:rsidRPr="00571A29" w14:paraId="43E112D0" w14:textId="77777777" w:rsidTr="00F77CA2">
        <w:tc>
          <w:tcPr>
            <w:tcW w:w="9316" w:type="dxa"/>
            <w:gridSpan w:val="8"/>
          </w:tcPr>
          <w:p w14:paraId="149A1CCD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Impact macro-economic</w:t>
            </w:r>
          </w:p>
          <w:p w14:paraId="774F9A58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571A29" w14:paraId="7EF9E0AC" w14:textId="77777777" w:rsidTr="00F77CA2">
        <w:tc>
          <w:tcPr>
            <w:tcW w:w="9316" w:type="dxa"/>
            <w:gridSpan w:val="8"/>
          </w:tcPr>
          <w:p w14:paraId="2C9B7E52" w14:textId="77777777" w:rsidR="003479AA" w:rsidRPr="002434BD" w:rsidRDefault="003479AA" w:rsidP="002434BD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Impactul asupra mediului concurenţial şi domeniului ajutoarelor de stat:</w:t>
            </w:r>
          </w:p>
          <w:p w14:paraId="6449D193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571A29" w14:paraId="0A9DC4B2" w14:textId="77777777" w:rsidTr="00F77CA2">
        <w:tc>
          <w:tcPr>
            <w:tcW w:w="9316" w:type="dxa"/>
            <w:gridSpan w:val="8"/>
          </w:tcPr>
          <w:p w14:paraId="532D1261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Impact asupra mediului de afaceri</w:t>
            </w:r>
          </w:p>
          <w:p w14:paraId="032702A9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571A29" w14:paraId="61634E94" w14:textId="77777777" w:rsidTr="00F77CA2">
        <w:tc>
          <w:tcPr>
            <w:tcW w:w="9316" w:type="dxa"/>
            <w:gridSpan w:val="8"/>
          </w:tcPr>
          <w:p w14:paraId="618F9617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.Impactul asupra sarcinilor administrative</w:t>
            </w:r>
          </w:p>
          <w:p w14:paraId="5C7DCE61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571A29" w14:paraId="6FBEE32F" w14:textId="77777777" w:rsidTr="00F77CA2">
        <w:tc>
          <w:tcPr>
            <w:tcW w:w="9316" w:type="dxa"/>
            <w:gridSpan w:val="8"/>
          </w:tcPr>
          <w:p w14:paraId="39CA80D2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2</w:t>
            </w: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.Impactul asupra întreprinderilor mici și mijlocii</w:t>
            </w:r>
          </w:p>
          <w:p w14:paraId="28BCD833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571A29" w14:paraId="60910744" w14:textId="77777777" w:rsidTr="00F77CA2">
        <w:tc>
          <w:tcPr>
            <w:tcW w:w="9316" w:type="dxa"/>
            <w:gridSpan w:val="8"/>
          </w:tcPr>
          <w:p w14:paraId="091E66EE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Impact social</w:t>
            </w:r>
          </w:p>
          <w:p w14:paraId="6E5F7ED1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571A29" w14:paraId="7989D266" w14:textId="77777777" w:rsidTr="00F77CA2">
        <w:tc>
          <w:tcPr>
            <w:tcW w:w="9316" w:type="dxa"/>
            <w:gridSpan w:val="8"/>
          </w:tcPr>
          <w:p w14:paraId="36D0B8E9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 Impact asupra mediului</w:t>
            </w:r>
          </w:p>
          <w:p w14:paraId="00528A21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571A29" w14:paraId="17FB46BC" w14:textId="77777777" w:rsidTr="00F77CA2">
        <w:tc>
          <w:tcPr>
            <w:tcW w:w="9316" w:type="dxa"/>
            <w:gridSpan w:val="8"/>
          </w:tcPr>
          <w:p w14:paraId="37599F06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 Alte informaţii</w:t>
            </w:r>
          </w:p>
          <w:p w14:paraId="3875BDB3" w14:textId="6CE323C4" w:rsidR="00501786" w:rsidRPr="002434BD" w:rsidRDefault="003479AA" w:rsidP="00887210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Cs/>
                <w:sz w:val="26"/>
                <w:szCs w:val="26"/>
              </w:rPr>
              <w:t>Nu sunt</w:t>
            </w:r>
            <w:r w:rsidR="006F1406" w:rsidRPr="002434B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79AA" w:rsidRPr="00571A29" w14:paraId="166FC1E2" w14:textId="77777777" w:rsidTr="00F77CA2">
        <w:tc>
          <w:tcPr>
            <w:tcW w:w="9316" w:type="dxa"/>
            <w:gridSpan w:val="8"/>
          </w:tcPr>
          <w:p w14:paraId="5AC6957B" w14:textId="77777777" w:rsidR="00AA3695" w:rsidRDefault="00AA3695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9C8C1C" w14:textId="6404016B" w:rsidR="00501786" w:rsidRDefault="003479AA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Secţiunea a 4-a</w:t>
            </w:r>
          </w:p>
          <w:p w14:paraId="13E7CA68" w14:textId="77777777" w:rsidR="003479AA" w:rsidRPr="002434BD" w:rsidRDefault="006F1934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3479AA"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mpactul financiar asupra bugetului general consolidat,</w:t>
            </w:r>
          </w:p>
          <w:p w14:paraId="3E4CB06D" w14:textId="77777777" w:rsidR="00D51022" w:rsidRPr="002434BD" w:rsidRDefault="003479AA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atât pe termen scurt, pentru anul curent, cât şi pe termen lung (pe 5 ani)</w:t>
            </w:r>
          </w:p>
          <w:p w14:paraId="0F6181E1" w14:textId="08B74B41" w:rsidR="00AA3695" w:rsidRDefault="003479AA" w:rsidP="000107A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 xml:space="preserve">Proiectul de act normativ nu are impact asupra bugetului general consolidat. </w:t>
            </w:r>
          </w:p>
          <w:p w14:paraId="23AF4827" w14:textId="77777777" w:rsidR="00DC1FDE" w:rsidRPr="002434BD" w:rsidRDefault="00DC1FDE" w:rsidP="000107A3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9AA" w:rsidRPr="00571A29" w14:paraId="048701A8" w14:textId="77777777" w:rsidTr="00F77CA2">
        <w:tc>
          <w:tcPr>
            <w:tcW w:w="9316" w:type="dxa"/>
            <w:gridSpan w:val="8"/>
          </w:tcPr>
          <w:p w14:paraId="586DBA0A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în mii lei (RON) -</w:t>
            </w:r>
          </w:p>
        </w:tc>
      </w:tr>
      <w:tr w:rsidR="003479AA" w:rsidRPr="00571A29" w14:paraId="1EAC2C55" w14:textId="77777777" w:rsidTr="00F77CA2">
        <w:tc>
          <w:tcPr>
            <w:tcW w:w="4705" w:type="dxa"/>
          </w:tcPr>
          <w:p w14:paraId="4A572C59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Indicatori</w:t>
            </w:r>
          </w:p>
        </w:tc>
        <w:tc>
          <w:tcPr>
            <w:tcW w:w="1261" w:type="dxa"/>
          </w:tcPr>
          <w:p w14:paraId="0D4D3384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Anul curent</w:t>
            </w:r>
          </w:p>
        </w:tc>
        <w:tc>
          <w:tcPr>
            <w:tcW w:w="1780" w:type="dxa"/>
            <w:gridSpan w:val="5"/>
          </w:tcPr>
          <w:p w14:paraId="65BE18FB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Următorii patru ani</w:t>
            </w:r>
          </w:p>
        </w:tc>
        <w:tc>
          <w:tcPr>
            <w:tcW w:w="1570" w:type="dxa"/>
          </w:tcPr>
          <w:p w14:paraId="48D140B5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 xml:space="preserve">Media pe cinci ani </w:t>
            </w:r>
          </w:p>
        </w:tc>
      </w:tr>
      <w:tr w:rsidR="003479AA" w:rsidRPr="00571A29" w14:paraId="1E905ACE" w14:textId="77777777" w:rsidTr="00F77CA2">
        <w:tc>
          <w:tcPr>
            <w:tcW w:w="4705" w:type="dxa"/>
          </w:tcPr>
          <w:p w14:paraId="4E2D84C8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1" w:type="dxa"/>
          </w:tcPr>
          <w:p w14:paraId="434BC692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7" w:type="dxa"/>
          </w:tcPr>
          <w:p w14:paraId="4D0DA7AE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1" w:type="dxa"/>
          </w:tcPr>
          <w:p w14:paraId="1FE6937B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" w:type="dxa"/>
          </w:tcPr>
          <w:p w14:paraId="6BB4A448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2" w:type="dxa"/>
            <w:gridSpan w:val="2"/>
          </w:tcPr>
          <w:p w14:paraId="0C0F4CC1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0" w:type="dxa"/>
          </w:tcPr>
          <w:p w14:paraId="42003F7C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479AA" w:rsidRPr="00571A29" w14:paraId="3A11F6B3" w14:textId="77777777" w:rsidTr="00F77CA2">
        <w:tc>
          <w:tcPr>
            <w:tcW w:w="4705" w:type="dxa"/>
          </w:tcPr>
          <w:p w14:paraId="22F853C0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1. Modificări ale veniturilor bugetare, plus/minus, din care:</w:t>
            </w:r>
          </w:p>
          <w:p w14:paraId="2BB1A818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a) buget de stat, din acesta:</w:t>
            </w:r>
          </w:p>
          <w:p w14:paraId="598A7529" w14:textId="77777777" w:rsidR="003479AA" w:rsidRPr="002434BD" w:rsidRDefault="003479AA" w:rsidP="002434BD">
            <w:pPr>
              <w:numPr>
                <w:ilvl w:val="0"/>
                <w:numId w:val="1"/>
              </w:num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impozit pe profit</w:t>
            </w:r>
          </w:p>
          <w:p w14:paraId="2FBD9AEF" w14:textId="77777777" w:rsidR="003479AA" w:rsidRPr="002434BD" w:rsidRDefault="003479AA" w:rsidP="002434BD">
            <w:pPr>
              <w:numPr>
                <w:ilvl w:val="0"/>
                <w:numId w:val="1"/>
              </w:num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impozit pe venit</w:t>
            </w:r>
          </w:p>
          <w:p w14:paraId="17ED9207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b) bugete locale</w:t>
            </w:r>
          </w:p>
          <w:p w14:paraId="1007C9CC" w14:textId="77777777" w:rsidR="003479AA" w:rsidRPr="002434BD" w:rsidRDefault="003479AA" w:rsidP="002434BD">
            <w:pPr>
              <w:numPr>
                <w:ilvl w:val="0"/>
                <w:numId w:val="2"/>
              </w:num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impozit pe profit</w:t>
            </w:r>
          </w:p>
          <w:p w14:paraId="15D553E1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c) bugetul asigurărilor sociale de stat:</w:t>
            </w:r>
          </w:p>
          <w:p w14:paraId="33FF9E21" w14:textId="77777777" w:rsidR="003479AA" w:rsidRPr="002434BD" w:rsidRDefault="003479AA" w:rsidP="002434BD">
            <w:pPr>
              <w:numPr>
                <w:ilvl w:val="0"/>
                <w:numId w:val="3"/>
              </w:num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contribuţii de asigurări</w:t>
            </w:r>
          </w:p>
        </w:tc>
        <w:tc>
          <w:tcPr>
            <w:tcW w:w="1261" w:type="dxa"/>
          </w:tcPr>
          <w:p w14:paraId="70622516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14:paraId="0035B9AD" w14:textId="77777777" w:rsidR="003479AA" w:rsidRPr="002434BD" w:rsidRDefault="003479AA" w:rsidP="002434BD">
            <w:pPr>
              <w:tabs>
                <w:tab w:val="left" w:pos="720"/>
                <w:tab w:val="left" w:pos="3960"/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" w:type="dxa"/>
          </w:tcPr>
          <w:p w14:paraId="2820DEEA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10149246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dxa"/>
            <w:gridSpan w:val="2"/>
          </w:tcPr>
          <w:p w14:paraId="003C5270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14:paraId="25333F59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9AA" w:rsidRPr="00571A29" w14:paraId="04882955" w14:textId="77777777" w:rsidTr="00F77CA2">
        <w:trPr>
          <w:trHeight w:val="530"/>
        </w:trPr>
        <w:tc>
          <w:tcPr>
            <w:tcW w:w="9316" w:type="dxa"/>
            <w:gridSpan w:val="8"/>
          </w:tcPr>
          <w:p w14:paraId="5E32102F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2. Modificări ale cheltuielilor bugetare, plus/minus, din care:</w:t>
            </w:r>
          </w:p>
          <w:p w14:paraId="41A3CF23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a) buget de stat, din acesta:</w:t>
            </w:r>
          </w:p>
          <w:p w14:paraId="444E596A" w14:textId="77777777" w:rsidR="003479AA" w:rsidRPr="002434BD" w:rsidRDefault="003479AA" w:rsidP="002434BD">
            <w:pPr>
              <w:numPr>
                <w:ilvl w:val="0"/>
                <w:numId w:val="4"/>
              </w:num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cheltuieli de personal</w:t>
            </w:r>
          </w:p>
          <w:p w14:paraId="0CC92056" w14:textId="77777777" w:rsidR="003479AA" w:rsidRPr="002434BD" w:rsidRDefault="003479AA" w:rsidP="002434BD">
            <w:pPr>
              <w:numPr>
                <w:ilvl w:val="0"/>
                <w:numId w:val="4"/>
              </w:num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bunuri şi servicii</w:t>
            </w:r>
          </w:p>
          <w:p w14:paraId="1AEA3B24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b) bugete locale:</w:t>
            </w:r>
          </w:p>
          <w:p w14:paraId="26EB9AE3" w14:textId="77777777" w:rsidR="003479AA" w:rsidRPr="002434BD" w:rsidRDefault="003479AA" w:rsidP="002434BD">
            <w:pPr>
              <w:numPr>
                <w:ilvl w:val="0"/>
                <w:numId w:val="5"/>
              </w:num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cheltuieli de personal</w:t>
            </w:r>
          </w:p>
          <w:p w14:paraId="37A1C2E4" w14:textId="77777777" w:rsidR="003479AA" w:rsidRPr="002434BD" w:rsidRDefault="003479AA" w:rsidP="002434BD">
            <w:pPr>
              <w:numPr>
                <w:ilvl w:val="0"/>
                <w:numId w:val="5"/>
              </w:num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bunuri şi servicii</w:t>
            </w:r>
          </w:p>
          <w:p w14:paraId="53BE8928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c) bugetul asigurărilor sociale de stat:</w:t>
            </w:r>
          </w:p>
          <w:p w14:paraId="4FA0A5B0" w14:textId="77777777" w:rsidR="003479AA" w:rsidRPr="002434BD" w:rsidRDefault="003479AA" w:rsidP="002434BD">
            <w:pPr>
              <w:numPr>
                <w:ilvl w:val="0"/>
                <w:numId w:val="6"/>
              </w:num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cheltuieli de personal</w:t>
            </w:r>
          </w:p>
          <w:p w14:paraId="610128D4" w14:textId="77777777" w:rsidR="003479AA" w:rsidRPr="002434BD" w:rsidRDefault="003479AA" w:rsidP="002434BD">
            <w:pPr>
              <w:numPr>
                <w:ilvl w:val="0"/>
                <w:numId w:val="6"/>
              </w:num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 xml:space="preserve">bunuri şi servicii </w:t>
            </w:r>
          </w:p>
        </w:tc>
      </w:tr>
      <w:tr w:rsidR="003479AA" w:rsidRPr="00571A29" w14:paraId="2B0814DD" w14:textId="77777777" w:rsidTr="00F77CA2">
        <w:tc>
          <w:tcPr>
            <w:tcW w:w="4705" w:type="dxa"/>
          </w:tcPr>
          <w:p w14:paraId="76A64CF6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3. Impact financiar, plus/minus, din care:</w:t>
            </w:r>
          </w:p>
          <w:p w14:paraId="64E36437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Pr="002434B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buget de stat</w:t>
            </w:r>
          </w:p>
          <w:p w14:paraId="02886CB9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b) bugete locale</w:t>
            </w:r>
          </w:p>
        </w:tc>
        <w:tc>
          <w:tcPr>
            <w:tcW w:w="1261" w:type="dxa"/>
          </w:tcPr>
          <w:p w14:paraId="46BFA769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14:paraId="41863572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" w:type="dxa"/>
          </w:tcPr>
          <w:p w14:paraId="54BD4023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7B5263DD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</w:tcPr>
          <w:p w14:paraId="22CE1DBB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gridSpan w:val="2"/>
          </w:tcPr>
          <w:p w14:paraId="58575FEE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9AA" w:rsidRPr="00571A29" w14:paraId="4EADFE38" w14:textId="77777777" w:rsidTr="00F77CA2">
        <w:tc>
          <w:tcPr>
            <w:tcW w:w="4705" w:type="dxa"/>
          </w:tcPr>
          <w:p w14:paraId="70152F3C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4. Propuneri pentru acoperirea creşterii cheltuielilor bugetare</w:t>
            </w:r>
          </w:p>
        </w:tc>
        <w:tc>
          <w:tcPr>
            <w:tcW w:w="1261" w:type="dxa"/>
          </w:tcPr>
          <w:p w14:paraId="77C1FF8A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14:paraId="68753CF4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" w:type="dxa"/>
          </w:tcPr>
          <w:p w14:paraId="74B0452A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295A4502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</w:tcPr>
          <w:p w14:paraId="0716352C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gridSpan w:val="2"/>
          </w:tcPr>
          <w:p w14:paraId="7A028B7C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9AA" w:rsidRPr="00571A29" w14:paraId="53848ECC" w14:textId="77777777" w:rsidTr="00F77CA2">
        <w:tc>
          <w:tcPr>
            <w:tcW w:w="4705" w:type="dxa"/>
          </w:tcPr>
          <w:p w14:paraId="03FE9306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5. Propuneri pentru a compensa reducerea veniturilor bugetare</w:t>
            </w:r>
          </w:p>
        </w:tc>
        <w:tc>
          <w:tcPr>
            <w:tcW w:w="1261" w:type="dxa"/>
          </w:tcPr>
          <w:p w14:paraId="585AF723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14:paraId="34C7EF21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" w:type="dxa"/>
          </w:tcPr>
          <w:p w14:paraId="752D90AA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7013B521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</w:tcPr>
          <w:p w14:paraId="3F189811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gridSpan w:val="2"/>
          </w:tcPr>
          <w:p w14:paraId="2D8E9F5D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9AA" w:rsidRPr="00571A29" w14:paraId="5139FCED" w14:textId="77777777" w:rsidTr="00F77CA2">
        <w:tc>
          <w:tcPr>
            <w:tcW w:w="4705" w:type="dxa"/>
          </w:tcPr>
          <w:p w14:paraId="1F67040C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6. Calcule detaliate privind fundamentarea modificărilor veniturilor şi/sau cheltuielilor bugetare</w:t>
            </w:r>
          </w:p>
        </w:tc>
        <w:tc>
          <w:tcPr>
            <w:tcW w:w="1261" w:type="dxa"/>
          </w:tcPr>
          <w:p w14:paraId="4E131554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14:paraId="4D26109B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" w:type="dxa"/>
          </w:tcPr>
          <w:p w14:paraId="4857E306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6EAD396A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</w:tcPr>
          <w:p w14:paraId="0680885B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gridSpan w:val="2"/>
          </w:tcPr>
          <w:p w14:paraId="0BFBAD74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9AA" w:rsidRPr="00571A29" w14:paraId="24625F2C" w14:textId="77777777" w:rsidTr="00F77CA2">
        <w:tc>
          <w:tcPr>
            <w:tcW w:w="4705" w:type="dxa"/>
          </w:tcPr>
          <w:p w14:paraId="38A8FC5F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 xml:space="preserve">7. Alte informaţii </w:t>
            </w:r>
          </w:p>
          <w:p w14:paraId="45E68E0C" w14:textId="60E00F6F" w:rsidR="008F3DFB" w:rsidRPr="002434BD" w:rsidRDefault="003479AA" w:rsidP="00887210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Nu sunt</w:t>
            </w:r>
          </w:p>
        </w:tc>
        <w:tc>
          <w:tcPr>
            <w:tcW w:w="4611" w:type="dxa"/>
            <w:gridSpan w:val="7"/>
          </w:tcPr>
          <w:p w14:paraId="38E42B6A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9AA" w:rsidRPr="00571A29" w14:paraId="0A05A2D2" w14:textId="77777777" w:rsidTr="00F77CA2">
        <w:tc>
          <w:tcPr>
            <w:tcW w:w="9316" w:type="dxa"/>
            <w:gridSpan w:val="8"/>
          </w:tcPr>
          <w:p w14:paraId="7CEAD358" w14:textId="77777777" w:rsidR="008F3DFB" w:rsidRDefault="008F3DFB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20586AF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Secţiunea a 5-a</w:t>
            </w:r>
          </w:p>
          <w:p w14:paraId="635D36A1" w14:textId="7ACEA6DF" w:rsidR="008F3DFB" w:rsidRPr="002434BD" w:rsidRDefault="003479AA" w:rsidP="003D03DA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Efectele proiectului de act normativ asupra legislaţiei în vigoare</w:t>
            </w:r>
          </w:p>
        </w:tc>
      </w:tr>
      <w:tr w:rsidR="003479AA" w:rsidRPr="00571A29" w14:paraId="356C41AC" w14:textId="77777777" w:rsidTr="00F77CA2">
        <w:tc>
          <w:tcPr>
            <w:tcW w:w="9316" w:type="dxa"/>
            <w:gridSpan w:val="8"/>
          </w:tcPr>
          <w:p w14:paraId="15440E16" w14:textId="77777777" w:rsidR="003479AA" w:rsidRPr="002434BD" w:rsidRDefault="003479AA" w:rsidP="002434BD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1. Măsuri normative necesare pentru aplicarea prevederilor proiectului de act normativ (acte normative în vigoare ce vor fi modificate sau abrogate, ca urmare a intrării în vigoare a proiectului de act normativ):</w:t>
            </w:r>
          </w:p>
          <w:p w14:paraId="6EDD1384" w14:textId="77777777" w:rsidR="003479AA" w:rsidRPr="002434BD" w:rsidRDefault="003479AA" w:rsidP="002434BD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a) acte normative care se modifică sau se abrogă ca urmare a intrării în vigoare a proiectului de act normativ;</w:t>
            </w:r>
          </w:p>
          <w:p w14:paraId="3242B1A1" w14:textId="77777777" w:rsidR="003479AA" w:rsidRPr="002434BD" w:rsidRDefault="003479AA" w:rsidP="002434BD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b) acte normative ce urmează a fi elaborate în vederea implementării noilor dispoziţii.</w:t>
            </w:r>
          </w:p>
          <w:p w14:paraId="43A53EEF" w14:textId="77777777" w:rsidR="003479AA" w:rsidRPr="002434BD" w:rsidRDefault="003479AA" w:rsidP="002434BD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571A29" w14:paraId="68181CF2" w14:textId="77777777" w:rsidTr="00F77CA2">
        <w:tc>
          <w:tcPr>
            <w:tcW w:w="9316" w:type="dxa"/>
            <w:gridSpan w:val="8"/>
          </w:tcPr>
          <w:p w14:paraId="15203E13" w14:textId="77777777" w:rsidR="003479AA" w:rsidRPr="002434BD" w:rsidRDefault="003479AA" w:rsidP="002434BD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Compatibilitatea proiectului de act normativ cu legislația în domeniul achizițiilor publice</w:t>
            </w:r>
          </w:p>
          <w:p w14:paraId="10FA2989" w14:textId="77777777" w:rsidR="003479AA" w:rsidRPr="002434BD" w:rsidRDefault="003479AA" w:rsidP="002434BD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571A29" w14:paraId="2EA64BE9" w14:textId="77777777" w:rsidTr="00F77CA2">
        <w:tc>
          <w:tcPr>
            <w:tcW w:w="9316" w:type="dxa"/>
            <w:gridSpan w:val="8"/>
          </w:tcPr>
          <w:p w14:paraId="001B6841" w14:textId="77777777" w:rsidR="003479AA" w:rsidRPr="002434BD" w:rsidRDefault="003479AA" w:rsidP="002434BD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Conformitatea proiectului de act normativ cu legislaţia comunitară în cazul proiectelor ce transpun prevederi comunitare:</w:t>
            </w:r>
          </w:p>
          <w:p w14:paraId="367B2E27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571A29" w14:paraId="725AC29B" w14:textId="77777777" w:rsidTr="00F77CA2">
        <w:tc>
          <w:tcPr>
            <w:tcW w:w="9316" w:type="dxa"/>
            <w:gridSpan w:val="8"/>
          </w:tcPr>
          <w:p w14:paraId="3CBB0548" w14:textId="77777777" w:rsidR="003479AA" w:rsidRPr="002434BD" w:rsidRDefault="003479AA" w:rsidP="002434BD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Măsuri normative necesare aplicării directe a actelor normative comunitare</w:t>
            </w:r>
          </w:p>
          <w:p w14:paraId="6DC67A9D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571A29" w14:paraId="7F34CE50" w14:textId="77777777" w:rsidTr="00F77CA2">
        <w:tc>
          <w:tcPr>
            <w:tcW w:w="9316" w:type="dxa"/>
            <w:gridSpan w:val="8"/>
          </w:tcPr>
          <w:p w14:paraId="1EE8B1F7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Hotărâri ale Curţii de Justiţie a Uniunii Europene </w:t>
            </w:r>
          </w:p>
          <w:p w14:paraId="60001BBB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571A29" w14:paraId="4D314095" w14:textId="77777777" w:rsidTr="00F77CA2">
        <w:tc>
          <w:tcPr>
            <w:tcW w:w="9316" w:type="dxa"/>
            <w:gridSpan w:val="8"/>
          </w:tcPr>
          <w:p w14:paraId="27DBDD28" w14:textId="77777777" w:rsidR="003479AA" w:rsidRPr="002434BD" w:rsidRDefault="003479AA" w:rsidP="002434BD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 Alte acte normative şi/sau documente internaţionale din care decurg angajamente, făcându-se referire la un anume acord, o anume rezoluţie sau recomandare internaţională ori la alt document al unei organizaţii internaţionale:</w:t>
            </w:r>
          </w:p>
          <w:p w14:paraId="38C01861" w14:textId="77777777" w:rsidR="003479AA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  <w:p w14:paraId="3C741AB4" w14:textId="77777777" w:rsidR="00DC1FDE" w:rsidRPr="002434BD" w:rsidRDefault="00DC1FDE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9AA" w:rsidRPr="00571A29" w14:paraId="2A5747DC" w14:textId="77777777" w:rsidTr="00F77CA2">
        <w:tc>
          <w:tcPr>
            <w:tcW w:w="9316" w:type="dxa"/>
            <w:gridSpan w:val="8"/>
          </w:tcPr>
          <w:p w14:paraId="7587821F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 Alte informaţii</w:t>
            </w:r>
          </w:p>
          <w:p w14:paraId="5D5F4141" w14:textId="26B445B6" w:rsidR="008F3DFB" w:rsidRPr="002434BD" w:rsidRDefault="003479AA" w:rsidP="00887210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Cs/>
                <w:sz w:val="26"/>
                <w:szCs w:val="26"/>
              </w:rPr>
              <w:t>Nu sunt.</w:t>
            </w:r>
          </w:p>
        </w:tc>
      </w:tr>
      <w:tr w:rsidR="003479AA" w:rsidRPr="00571A29" w14:paraId="74ED4508" w14:textId="77777777" w:rsidTr="00F77CA2">
        <w:tc>
          <w:tcPr>
            <w:tcW w:w="9316" w:type="dxa"/>
            <w:gridSpan w:val="8"/>
          </w:tcPr>
          <w:p w14:paraId="33BE3D40" w14:textId="77777777" w:rsidR="008F3DFB" w:rsidRDefault="008F3DFB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DCF81A2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Secţiunea a 6-a</w:t>
            </w:r>
          </w:p>
          <w:p w14:paraId="24408CD4" w14:textId="77777777" w:rsidR="00DC1FDE" w:rsidRDefault="003479AA" w:rsidP="00244D9E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Consultările efectuate în vederea elaborării proiectului de act normativ</w:t>
            </w:r>
          </w:p>
          <w:p w14:paraId="24DAB20C" w14:textId="0E077200" w:rsidR="008F3DFB" w:rsidRPr="002434BD" w:rsidRDefault="008F3DFB" w:rsidP="00244D9E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479AA" w:rsidRPr="00571A29" w14:paraId="1818D642" w14:textId="77777777" w:rsidTr="00F77CA2">
        <w:tc>
          <w:tcPr>
            <w:tcW w:w="9316" w:type="dxa"/>
            <w:gridSpan w:val="8"/>
          </w:tcPr>
          <w:p w14:paraId="4D7E3978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Informaţii privind procesul de consultare cu organizaţiile neguvernamentale, institute de cercetare şi alte organisme implicate </w:t>
            </w:r>
          </w:p>
          <w:p w14:paraId="7E6F8A48" w14:textId="77777777" w:rsidR="003479AA" w:rsidRPr="002434BD" w:rsidRDefault="003479AA" w:rsidP="002434BD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BD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571A29" w14:paraId="1A354D95" w14:textId="77777777" w:rsidTr="00F77CA2">
        <w:tc>
          <w:tcPr>
            <w:tcW w:w="9316" w:type="dxa"/>
            <w:gridSpan w:val="8"/>
          </w:tcPr>
          <w:p w14:paraId="0BE05D40" w14:textId="77777777" w:rsidR="003479AA" w:rsidRPr="00571A29" w:rsidRDefault="003479AA" w:rsidP="00571A2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Fundamentarea alegerii organizaţiilor cu care a avut loc consultarea precum şi a modului în care activitatea acestor organizaţii este legată de obiectul proiectului de act normativ</w:t>
            </w:r>
          </w:p>
          <w:p w14:paraId="3966075D" w14:textId="77777777" w:rsidR="003479AA" w:rsidRPr="00571A29" w:rsidRDefault="003479AA" w:rsidP="00571A2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subiect.</w:t>
            </w:r>
          </w:p>
        </w:tc>
      </w:tr>
      <w:tr w:rsidR="003479AA" w:rsidRPr="00571A29" w14:paraId="0D2F6FAB" w14:textId="77777777" w:rsidTr="00F77CA2">
        <w:tc>
          <w:tcPr>
            <w:tcW w:w="9316" w:type="dxa"/>
            <w:gridSpan w:val="8"/>
          </w:tcPr>
          <w:p w14:paraId="09EE1BF5" w14:textId="77777777" w:rsidR="003479AA" w:rsidRPr="00571A29" w:rsidRDefault="003479AA" w:rsidP="00571A2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Consultările organizate cu autorităţile administraţiei publice locale, în situaţia în care proiectul de act normativ are ca obiect activităţi ale acestor autorităţi, în condiţiile Hotărârii Guvernului nr.521/2005 privind procedura de consultare a structurilor asociative ale autorităţilor administraţiei publice locale la elaborarea proiectelor de acte normative</w:t>
            </w:r>
          </w:p>
          <w:p w14:paraId="0EB33CC8" w14:textId="77777777" w:rsidR="003479AA" w:rsidRPr="00571A29" w:rsidRDefault="003479AA" w:rsidP="00571A2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Proiectul de act normativ nu se referă la acest subiect.</w:t>
            </w:r>
          </w:p>
        </w:tc>
      </w:tr>
      <w:tr w:rsidR="003479AA" w:rsidRPr="00571A29" w14:paraId="554BBD5A" w14:textId="77777777" w:rsidTr="00F77CA2">
        <w:tc>
          <w:tcPr>
            <w:tcW w:w="9316" w:type="dxa"/>
            <w:gridSpan w:val="8"/>
          </w:tcPr>
          <w:p w14:paraId="6FDBB0A2" w14:textId="77777777" w:rsidR="003479AA" w:rsidRPr="00571A29" w:rsidRDefault="003479AA" w:rsidP="00571A2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4. Consultările desfăşurate în cadrul consiliilor interministeriale în conformitate cu prevederile Hotărârii Guvernului nr.750/2005 privind constituirea consiliilor interministeriale permanente</w:t>
            </w:r>
          </w:p>
          <w:p w14:paraId="5A143BEC" w14:textId="77777777" w:rsidR="003479AA" w:rsidRPr="00571A29" w:rsidRDefault="003479AA" w:rsidP="00571A2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</w:t>
            </w:r>
          </w:p>
        </w:tc>
      </w:tr>
      <w:tr w:rsidR="003479AA" w:rsidRPr="00571A29" w14:paraId="68234531" w14:textId="77777777" w:rsidTr="00F77CA2">
        <w:tc>
          <w:tcPr>
            <w:tcW w:w="9316" w:type="dxa"/>
            <w:gridSpan w:val="8"/>
          </w:tcPr>
          <w:p w14:paraId="55ABFFC2" w14:textId="77777777" w:rsidR="003479AA" w:rsidRPr="00571A29" w:rsidRDefault="003479AA" w:rsidP="00571A29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 Informaţii privind avizarea de către:</w:t>
            </w:r>
          </w:p>
          <w:p w14:paraId="427F9C0E" w14:textId="77777777" w:rsidR="003479AA" w:rsidRPr="00571A29" w:rsidRDefault="003479AA" w:rsidP="00571A29">
            <w:pPr>
              <w:tabs>
                <w:tab w:val="left" w:pos="3960"/>
                <w:tab w:val="left" w:pos="6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 Consiliul Legislativ</w:t>
            </w: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</w:p>
          <w:p w14:paraId="3492921D" w14:textId="77777777" w:rsidR="003479AA" w:rsidRPr="00571A29" w:rsidRDefault="003479AA" w:rsidP="00571A29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 Consiliul Suprem de Apărare a Ţării</w:t>
            </w:r>
          </w:p>
          <w:p w14:paraId="75FC31E2" w14:textId="77777777" w:rsidR="003479AA" w:rsidRPr="00571A29" w:rsidRDefault="003479AA" w:rsidP="00571A29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c) Consiliul Economic şi Social</w:t>
            </w:r>
          </w:p>
          <w:p w14:paraId="671292A7" w14:textId="77777777" w:rsidR="003479AA" w:rsidRPr="00571A29" w:rsidRDefault="003479AA" w:rsidP="00571A29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d) Consiliul Concurenţei </w:t>
            </w:r>
          </w:p>
          <w:p w14:paraId="4E90EBB5" w14:textId="77777777" w:rsidR="003479AA" w:rsidRPr="00571A29" w:rsidRDefault="003479AA" w:rsidP="00571A2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e) Curtea de Conturi</w:t>
            </w:r>
          </w:p>
          <w:p w14:paraId="28AF4CD5" w14:textId="77777777" w:rsidR="007A6474" w:rsidRPr="00571A29" w:rsidRDefault="003479AA" w:rsidP="00571A2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subiect.</w:t>
            </w:r>
          </w:p>
        </w:tc>
      </w:tr>
      <w:tr w:rsidR="003479AA" w:rsidRPr="00571A29" w14:paraId="727CB5DB" w14:textId="77777777" w:rsidTr="00F77CA2">
        <w:tc>
          <w:tcPr>
            <w:tcW w:w="9316" w:type="dxa"/>
            <w:gridSpan w:val="8"/>
          </w:tcPr>
          <w:p w14:paraId="2C226363" w14:textId="77777777" w:rsidR="003479AA" w:rsidRPr="00571A29" w:rsidRDefault="003479AA" w:rsidP="00571A2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 Alte informaţii</w:t>
            </w:r>
          </w:p>
          <w:p w14:paraId="3E4B86BC" w14:textId="175EB0E0" w:rsidR="00501786" w:rsidRPr="006F1934" w:rsidRDefault="003479AA" w:rsidP="00887210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Cs/>
                <w:sz w:val="26"/>
                <w:szCs w:val="26"/>
              </w:rPr>
              <w:t>Nu sunt.</w:t>
            </w:r>
          </w:p>
        </w:tc>
      </w:tr>
      <w:tr w:rsidR="003479AA" w:rsidRPr="00571A29" w14:paraId="3C0A2A96" w14:textId="77777777" w:rsidTr="00F77CA2">
        <w:tc>
          <w:tcPr>
            <w:tcW w:w="9316" w:type="dxa"/>
            <w:gridSpan w:val="8"/>
          </w:tcPr>
          <w:p w14:paraId="5B676CEB" w14:textId="77777777" w:rsidR="008F3DFB" w:rsidRDefault="008F3DFB" w:rsidP="00571A29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2C56EA" w14:textId="77777777" w:rsidR="003479AA" w:rsidRPr="00571A29" w:rsidRDefault="003479AA" w:rsidP="00571A29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Secţiunea a 7-a</w:t>
            </w:r>
          </w:p>
          <w:p w14:paraId="680F2CD1" w14:textId="77777777" w:rsidR="003479AA" w:rsidRPr="00571A29" w:rsidRDefault="003479AA" w:rsidP="00571A29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Activităţi de informare publică privind elaborarea </w:t>
            </w:r>
          </w:p>
          <w:p w14:paraId="465EC075" w14:textId="001073BB" w:rsidR="008F3DFB" w:rsidRPr="00571A29" w:rsidRDefault="003479AA" w:rsidP="0088721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şi implementarea proiectului de act normativ</w:t>
            </w:r>
          </w:p>
        </w:tc>
      </w:tr>
      <w:tr w:rsidR="003479AA" w:rsidRPr="00571A29" w14:paraId="46871DB3" w14:textId="77777777" w:rsidTr="00F77CA2">
        <w:tc>
          <w:tcPr>
            <w:tcW w:w="9316" w:type="dxa"/>
            <w:gridSpan w:val="8"/>
          </w:tcPr>
          <w:p w14:paraId="6D108D6A" w14:textId="77777777" w:rsidR="00B23B19" w:rsidRPr="00571A29" w:rsidRDefault="003479AA" w:rsidP="00571A2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Informarea societăţii civile cu privire la necesitatea elaborării proiectului de act normativ</w:t>
            </w:r>
          </w:p>
          <w:p w14:paraId="2F0DFBF1" w14:textId="77777777" w:rsidR="00B23B19" w:rsidRPr="00571A29" w:rsidRDefault="003479AA" w:rsidP="00571A2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sz w:val="26"/>
                <w:szCs w:val="26"/>
              </w:rPr>
              <w:t xml:space="preserve">Menţionăm că au fost întreprinse demersurile legale prevăzute de art. 7 alin. </w:t>
            </w:r>
            <w:r w:rsidR="007E505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71A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505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571A29">
              <w:rPr>
                <w:rFonts w:ascii="Times New Roman" w:hAnsi="Times New Roman" w:cs="Times New Roman"/>
                <w:sz w:val="26"/>
                <w:szCs w:val="26"/>
              </w:rPr>
              <w:t xml:space="preserve"> din Regulamentul privind procedurile, la nivelul Guvernului, pentru elaborarea, avizarea şi prezentarea proiectelor de documente de politici publice, a proiectelor de acte normative, precum şi a altor documente, în vederea adoptării/aprobării, aprobat prin Hotărârea de Guvern nr. 561/200</w:t>
            </w:r>
            <w:r w:rsidR="006F1934">
              <w:rPr>
                <w:rFonts w:ascii="Times New Roman" w:hAnsi="Times New Roman" w:cs="Times New Roman"/>
                <w:sz w:val="26"/>
                <w:szCs w:val="26"/>
              </w:rPr>
              <w:t>9, cu modificările ulterioare.</w:t>
            </w:r>
          </w:p>
        </w:tc>
      </w:tr>
      <w:tr w:rsidR="003479AA" w:rsidRPr="00571A29" w14:paraId="22A6C409" w14:textId="77777777" w:rsidTr="00F77CA2">
        <w:tc>
          <w:tcPr>
            <w:tcW w:w="9316" w:type="dxa"/>
            <w:gridSpan w:val="8"/>
          </w:tcPr>
          <w:p w14:paraId="488B2B00" w14:textId="77777777" w:rsidR="003479AA" w:rsidRPr="00571A29" w:rsidRDefault="003479AA" w:rsidP="00571A2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Informarea societăţii civile cu privire la eventualul impact asupra mediului în urma implementării proiectului de act normativ, precum şi efectele asupra sănătăţii şi securităţii cetăţenilor sau diversităţii biologice </w:t>
            </w:r>
          </w:p>
          <w:p w14:paraId="1DFD8A13" w14:textId="77777777" w:rsidR="00B23B19" w:rsidRPr="00571A29" w:rsidRDefault="003479AA" w:rsidP="00571A2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subiect.</w:t>
            </w:r>
          </w:p>
        </w:tc>
      </w:tr>
      <w:tr w:rsidR="003479AA" w:rsidRPr="00571A29" w14:paraId="0ACA9446" w14:textId="77777777" w:rsidTr="00F77CA2">
        <w:tc>
          <w:tcPr>
            <w:tcW w:w="9316" w:type="dxa"/>
            <w:gridSpan w:val="8"/>
          </w:tcPr>
          <w:p w14:paraId="72BB4B88" w14:textId="77777777" w:rsidR="003479AA" w:rsidRPr="00571A29" w:rsidRDefault="003479AA" w:rsidP="00571A2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Alte informații</w:t>
            </w:r>
          </w:p>
          <w:p w14:paraId="3AC3F63F" w14:textId="64E4A3EF" w:rsidR="008F3DFB" w:rsidRPr="00571A29" w:rsidRDefault="003479AA" w:rsidP="003D03DA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Cs/>
                <w:sz w:val="26"/>
                <w:szCs w:val="26"/>
              </w:rPr>
              <w:t>Nu sunt</w:t>
            </w:r>
          </w:p>
        </w:tc>
      </w:tr>
      <w:tr w:rsidR="003479AA" w:rsidRPr="00571A29" w14:paraId="24E04FE1" w14:textId="77777777" w:rsidTr="00F77CA2">
        <w:tc>
          <w:tcPr>
            <w:tcW w:w="9316" w:type="dxa"/>
            <w:gridSpan w:val="8"/>
          </w:tcPr>
          <w:p w14:paraId="18A6FC8D" w14:textId="77777777" w:rsidR="003479AA" w:rsidRPr="00571A29" w:rsidRDefault="003479AA" w:rsidP="00571A29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Secţiunea a 8-a</w:t>
            </w:r>
          </w:p>
          <w:p w14:paraId="59336CC3" w14:textId="77777777" w:rsidR="003479AA" w:rsidRPr="00571A29" w:rsidRDefault="003479AA" w:rsidP="00571A29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Măsuri de implementare</w:t>
            </w:r>
          </w:p>
        </w:tc>
      </w:tr>
      <w:tr w:rsidR="003479AA" w:rsidRPr="00571A29" w14:paraId="0235B83F" w14:textId="77777777" w:rsidTr="00F77CA2">
        <w:tc>
          <w:tcPr>
            <w:tcW w:w="9316" w:type="dxa"/>
            <w:gridSpan w:val="8"/>
          </w:tcPr>
          <w:p w14:paraId="4C6538D0" w14:textId="77777777" w:rsidR="003479AA" w:rsidRPr="00571A29" w:rsidRDefault="003479AA" w:rsidP="00571A2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Măsurile de punere în aplicare a proiectului de act normativ de către autorităţile administraţiei publice centrale şi/sau locale - înfiinţarea unor noi organisme sau  extinderea competenţelor instituţiilor existente</w:t>
            </w:r>
          </w:p>
          <w:p w14:paraId="624167BD" w14:textId="77777777" w:rsidR="003479AA" w:rsidRPr="00571A29" w:rsidRDefault="003479AA" w:rsidP="00571A29">
            <w:pPr>
              <w:tabs>
                <w:tab w:val="left" w:pos="990"/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sz w:val="26"/>
                <w:szCs w:val="26"/>
              </w:rPr>
              <w:t>Proiectul de act normativ nu se referă la acest subiect.</w:t>
            </w:r>
          </w:p>
        </w:tc>
      </w:tr>
      <w:tr w:rsidR="003479AA" w:rsidRPr="00571A29" w14:paraId="3F5A30B6" w14:textId="77777777" w:rsidTr="00F77CA2">
        <w:tc>
          <w:tcPr>
            <w:tcW w:w="9316" w:type="dxa"/>
            <w:gridSpan w:val="8"/>
          </w:tcPr>
          <w:p w14:paraId="61EA02A8" w14:textId="77777777" w:rsidR="003479AA" w:rsidRPr="00571A29" w:rsidRDefault="003479AA" w:rsidP="00571A2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Alte informaţii</w:t>
            </w:r>
          </w:p>
          <w:p w14:paraId="6974C298" w14:textId="77777777" w:rsidR="003479AA" w:rsidRPr="00571A29" w:rsidRDefault="003479AA" w:rsidP="00571A2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A29">
              <w:rPr>
                <w:rFonts w:ascii="Times New Roman" w:hAnsi="Times New Roman" w:cs="Times New Roman"/>
                <w:sz w:val="26"/>
                <w:szCs w:val="26"/>
              </w:rPr>
              <w:t>Nu sunt.</w:t>
            </w:r>
          </w:p>
        </w:tc>
      </w:tr>
    </w:tbl>
    <w:p w14:paraId="020B9AC0" w14:textId="77777777" w:rsidR="003479AA" w:rsidRPr="00571A29" w:rsidRDefault="003479AA" w:rsidP="00571A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ro-RO"/>
        </w:rPr>
      </w:pPr>
      <w:r w:rsidRPr="00571A29">
        <w:rPr>
          <w:rFonts w:ascii="Times New Roman" w:hAnsi="Times New Roman" w:cs="Times New Roman"/>
          <w:sz w:val="26"/>
          <w:szCs w:val="26"/>
          <w:lang w:eastAsia="ro-RO"/>
        </w:rPr>
        <w:t xml:space="preserve">  </w:t>
      </w:r>
    </w:p>
    <w:tbl>
      <w:tblPr>
        <w:tblW w:w="10016" w:type="dxa"/>
        <w:tblLayout w:type="fixed"/>
        <w:tblLook w:val="01E0" w:firstRow="1" w:lastRow="1" w:firstColumn="1" w:lastColumn="1" w:noHBand="0" w:noVBand="0"/>
      </w:tblPr>
      <w:tblGrid>
        <w:gridCol w:w="10016"/>
      </w:tblGrid>
      <w:tr w:rsidR="004209D0" w:rsidRPr="00571A29" w14:paraId="44B4446C" w14:textId="77777777" w:rsidTr="002640E9">
        <w:tc>
          <w:tcPr>
            <w:tcW w:w="10016" w:type="dxa"/>
          </w:tcPr>
          <w:p w14:paraId="123C690E" w14:textId="60C58FC7" w:rsidR="004209D0" w:rsidRPr="00571A29" w:rsidRDefault="00D60AB3" w:rsidP="005F7AD1">
            <w:pPr>
              <w:tabs>
                <w:tab w:val="left" w:pos="990"/>
                <w:tab w:val="left" w:pos="3960"/>
              </w:tabs>
              <w:spacing w:after="0"/>
              <w:ind w:left="135" w:right="69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o-RO"/>
              </w:rPr>
            </w:pPr>
            <w:r w:rsidRPr="00571A29">
              <w:rPr>
                <w:rFonts w:ascii="Times New Roman" w:hAnsi="Times New Roman" w:cs="Times New Roman"/>
                <w:sz w:val="26"/>
                <w:szCs w:val="26"/>
                <w:lang w:eastAsia="ro-RO"/>
              </w:rPr>
              <w:lastRenderedPageBreak/>
              <w:t>Faţă de cele prezentate, a fost elaborat prezentul proiect de</w:t>
            </w:r>
            <w:r w:rsidRPr="00571A2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Pr="00571A29">
              <w:rPr>
                <w:rFonts w:ascii="Times New Roman" w:hAnsi="Times New Roman" w:cs="Times New Roman"/>
                <w:sz w:val="26"/>
                <w:szCs w:val="26"/>
                <w:lang w:eastAsia="ro-RO"/>
              </w:rPr>
              <w:t>Hotărâre</w:t>
            </w:r>
            <w:r w:rsidRPr="00571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A29">
              <w:rPr>
                <w:rFonts w:ascii="Times New Roman" w:hAnsi="Times New Roman" w:cs="Times New Roman"/>
                <w:sz w:val="26"/>
                <w:szCs w:val="26"/>
                <w:lang w:eastAsia="ro-RO"/>
              </w:rPr>
              <w:t>de Guvern privind aprobarea bugetului de venituri şi cheltuieli</w:t>
            </w:r>
            <w:r w:rsidR="00665995">
              <w:rPr>
                <w:rFonts w:ascii="Times New Roman" w:hAnsi="Times New Roman" w:cs="Times New Roman"/>
                <w:sz w:val="26"/>
                <w:szCs w:val="26"/>
                <w:lang w:eastAsia="ro-RO"/>
              </w:rPr>
              <w:t xml:space="preserve"> rectificat </w:t>
            </w:r>
            <w:r w:rsidRPr="00571A29">
              <w:rPr>
                <w:rFonts w:ascii="Times New Roman" w:hAnsi="Times New Roman" w:cs="Times New Roman"/>
                <w:sz w:val="26"/>
                <w:szCs w:val="26"/>
                <w:lang w:eastAsia="ro-RO"/>
              </w:rPr>
              <w:t>pe anul 202</w:t>
            </w:r>
            <w:r w:rsidR="00F96604">
              <w:rPr>
                <w:rFonts w:ascii="Times New Roman" w:hAnsi="Times New Roman" w:cs="Times New Roman"/>
                <w:sz w:val="26"/>
                <w:szCs w:val="26"/>
                <w:lang w:eastAsia="ro-RO"/>
              </w:rPr>
              <w:t>4</w:t>
            </w:r>
            <w:r w:rsidRPr="00571A29">
              <w:rPr>
                <w:rFonts w:ascii="Times New Roman" w:hAnsi="Times New Roman" w:cs="Times New Roman"/>
                <w:sz w:val="26"/>
                <w:szCs w:val="26"/>
                <w:lang w:eastAsia="ro-RO"/>
              </w:rPr>
              <w:t xml:space="preserve"> al</w:t>
            </w:r>
            <w:r w:rsidRPr="00571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4B00" w:rsidRPr="000F6CEB">
              <w:rPr>
                <w:rFonts w:ascii="Times New Roman" w:hAnsi="Times New Roman" w:cs="Times New Roman"/>
                <w:sz w:val="26"/>
                <w:szCs w:val="26"/>
              </w:rPr>
              <w:t xml:space="preserve">Societăţii Naţionale "Aeroportul Internaţional Timişoara - Traian Vuia" - S.A., </w:t>
            </w:r>
            <w:r w:rsidRPr="00571A29">
              <w:rPr>
                <w:rFonts w:ascii="Times New Roman" w:hAnsi="Times New Roman" w:cs="Times New Roman"/>
                <w:sz w:val="26"/>
                <w:szCs w:val="26"/>
              </w:rPr>
              <w:t>aflată sub autoritatea Ministerului Transporturilor și Infrastructurii</w:t>
            </w:r>
            <w:r w:rsidRPr="00571A29">
              <w:rPr>
                <w:rFonts w:ascii="Times New Roman" w:hAnsi="Times New Roman" w:cs="Times New Roman"/>
                <w:sz w:val="26"/>
                <w:szCs w:val="26"/>
                <w:lang w:eastAsia="ro-RO"/>
              </w:rPr>
              <w:t>, pe care îl supunem Guvernului spre adoptare.</w:t>
            </w:r>
          </w:p>
          <w:p w14:paraId="3297057F" w14:textId="77777777" w:rsidR="004209D0" w:rsidRPr="00571A29" w:rsidRDefault="004209D0" w:rsidP="005F7AD1">
            <w:pPr>
              <w:spacing w:after="0"/>
              <w:ind w:right="69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o-RO"/>
              </w:rPr>
            </w:pPr>
          </w:p>
          <w:p w14:paraId="406EBA13" w14:textId="77777777" w:rsidR="001879FA" w:rsidRDefault="001879FA" w:rsidP="00571A2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24BEF0" w14:textId="77777777" w:rsidR="0039023B" w:rsidRDefault="0039023B" w:rsidP="00571A2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9639CF" w14:textId="77777777" w:rsidR="0039023B" w:rsidRPr="00571A29" w:rsidRDefault="0039023B" w:rsidP="003902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o-RO"/>
              </w:rPr>
            </w:pPr>
          </w:p>
          <w:p w14:paraId="773486B3" w14:textId="77777777" w:rsidR="0039023B" w:rsidRPr="006072C2" w:rsidRDefault="0039023B" w:rsidP="0039023B">
            <w:pPr>
              <w:tabs>
                <w:tab w:val="left" w:pos="5103"/>
              </w:tabs>
              <w:ind w:left="5760" w:hanging="53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</w:t>
            </w:r>
            <w:r w:rsidRPr="00607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MINISTRUL TRANSPORTURILOR ȘI INFRASTRUCTURII                                                                                                                       </w:t>
            </w:r>
          </w:p>
          <w:p w14:paraId="35206C53" w14:textId="77777777" w:rsidR="0039023B" w:rsidRPr="006072C2" w:rsidRDefault="0039023B" w:rsidP="0039023B">
            <w:pPr>
              <w:tabs>
                <w:tab w:val="left" w:pos="5103"/>
              </w:tabs>
              <w:ind w:left="5386" w:hanging="53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SORIN  MIHAI  GRINDEANU    </w:t>
            </w:r>
          </w:p>
          <w:p w14:paraId="37E88A30" w14:textId="77777777" w:rsidR="0039023B" w:rsidRPr="006072C2" w:rsidRDefault="0039023B" w:rsidP="0039023B">
            <w:pPr>
              <w:tabs>
                <w:tab w:val="left" w:pos="5103"/>
              </w:tabs>
              <w:ind w:left="5386" w:hanging="53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</w:p>
          <w:p w14:paraId="6F0A2BB3" w14:textId="77777777" w:rsidR="0039023B" w:rsidRPr="006072C2" w:rsidRDefault="0039023B" w:rsidP="0039023B">
            <w:pPr>
              <w:tabs>
                <w:tab w:val="left" w:pos="5103"/>
              </w:tabs>
              <w:ind w:left="5386" w:hanging="538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  <w:p w14:paraId="743B712E" w14:textId="77777777" w:rsidR="0039023B" w:rsidRPr="006072C2" w:rsidRDefault="0039023B" w:rsidP="003902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  <w:p w14:paraId="2771D4FE" w14:textId="77777777" w:rsidR="0039023B" w:rsidRPr="006072C2" w:rsidRDefault="0039023B" w:rsidP="003902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  <w:p w14:paraId="5504E1AC" w14:textId="77777777" w:rsidR="0039023B" w:rsidRPr="006072C2" w:rsidRDefault="0039023B" w:rsidP="003902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  <w:p w14:paraId="375275AD" w14:textId="77777777" w:rsidR="0039023B" w:rsidRPr="006072C2" w:rsidRDefault="0039023B" w:rsidP="003902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o-RO"/>
              </w:rPr>
            </w:pPr>
            <w:r w:rsidRPr="006072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                                                          </w:t>
            </w:r>
            <w:r w:rsidRPr="006072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o-RO"/>
              </w:rPr>
              <w:t>Avizăm</w:t>
            </w:r>
          </w:p>
          <w:p w14:paraId="717940CA" w14:textId="77777777" w:rsidR="0039023B" w:rsidRPr="006072C2" w:rsidRDefault="0039023B" w:rsidP="003902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o-RO"/>
              </w:rPr>
            </w:pPr>
            <w:r w:rsidRPr="006072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o-RO"/>
              </w:rPr>
              <w:t xml:space="preserve">                                         </w:t>
            </w:r>
          </w:p>
          <w:p w14:paraId="53B78882" w14:textId="77777777" w:rsidR="0039023B" w:rsidRPr="006072C2" w:rsidRDefault="0039023B" w:rsidP="003902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72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  </w:t>
            </w:r>
            <w:r w:rsidRPr="006072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VICEPRIM – MINISTRU</w:t>
            </w:r>
          </w:p>
          <w:p w14:paraId="42FCB845" w14:textId="77777777" w:rsidR="0039023B" w:rsidRPr="006072C2" w:rsidRDefault="0039023B" w:rsidP="003902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072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   </w:t>
            </w:r>
            <w:r w:rsidRPr="006072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MARIAN NEACȘU</w:t>
            </w:r>
          </w:p>
          <w:p w14:paraId="74360F1F" w14:textId="77777777" w:rsidR="0039023B" w:rsidRPr="006072C2" w:rsidRDefault="0039023B" w:rsidP="003902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o-RO"/>
              </w:rPr>
            </w:pPr>
          </w:p>
          <w:p w14:paraId="58EF1338" w14:textId="77777777" w:rsidR="0039023B" w:rsidRPr="006072C2" w:rsidRDefault="0039023B" w:rsidP="003902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o-RO"/>
              </w:rPr>
            </w:pPr>
          </w:p>
          <w:p w14:paraId="66C12807" w14:textId="77777777" w:rsidR="0039023B" w:rsidRPr="006072C2" w:rsidRDefault="0039023B" w:rsidP="003902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o-RO"/>
              </w:rPr>
            </w:pPr>
          </w:p>
          <w:p w14:paraId="1B2988D6" w14:textId="77777777" w:rsidR="0039023B" w:rsidRPr="006072C2" w:rsidRDefault="0039023B" w:rsidP="003902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o-RO"/>
              </w:rPr>
            </w:pPr>
          </w:p>
          <w:p w14:paraId="237329A0" w14:textId="77777777" w:rsidR="0039023B" w:rsidRPr="006072C2" w:rsidRDefault="0039023B" w:rsidP="003902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o-RO"/>
              </w:rPr>
            </w:pPr>
          </w:p>
          <w:p w14:paraId="1410953A" w14:textId="77777777" w:rsidR="0039023B" w:rsidRPr="006072C2" w:rsidRDefault="0039023B" w:rsidP="003902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o-RO"/>
              </w:rPr>
            </w:pPr>
          </w:p>
          <w:p w14:paraId="5B398B17" w14:textId="77777777" w:rsidR="0039023B" w:rsidRPr="006072C2" w:rsidRDefault="0039023B" w:rsidP="003902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o-RO"/>
              </w:rPr>
            </w:pPr>
          </w:p>
          <w:p w14:paraId="4999D3F6" w14:textId="77777777" w:rsidR="0039023B" w:rsidRPr="006072C2" w:rsidRDefault="0039023B" w:rsidP="003902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o-RO"/>
              </w:rPr>
            </w:pPr>
          </w:p>
          <w:p w14:paraId="2D655FB5" w14:textId="77777777" w:rsidR="0039023B" w:rsidRPr="006072C2" w:rsidRDefault="0039023B" w:rsidP="003902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o-RO"/>
              </w:rPr>
            </w:pPr>
          </w:p>
          <w:p w14:paraId="25156657" w14:textId="77777777" w:rsidR="0039023B" w:rsidRPr="006072C2" w:rsidRDefault="0039023B" w:rsidP="0039023B">
            <w:pPr>
              <w:ind w:left="-108" w:right="-1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C2">
              <w:rPr>
                <w:rFonts w:ascii="Times New Roman" w:hAnsi="Times New Roman" w:cs="Times New Roman"/>
                <w:b/>
                <w:sz w:val="24"/>
                <w:szCs w:val="24"/>
              </w:rPr>
              <w:t>MINISTRUL</w:t>
            </w:r>
            <w:r w:rsidRPr="0060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FINANȚELOR                MINISTRUL MUNCII  ȘI  SOLIDARITĂȚII SOCIALE</w:t>
            </w:r>
          </w:p>
          <w:p w14:paraId="4103EB4D" w14:textId="77777777" w:rsidR="0039023B" w:rsidRPr="00CF1408" w:rsidRDefault="0039023B" w:rsidP="0039023B">
            <w:pPr>
              <w:ind w:left="-108" w:right="-1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MARCEL – IOAN BOLOȘ                                   SIMONA BUCURA - OPRESCU</w:t>
            </w:r>
          </w:p>
          <w:p w14:paraId="4E66BEB1" w14:textId="77777777" w:rsidR="0039023B" w:rsidRPr="00CF1408" w:rsidRDefault="0039023B" w:rsidP="003902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o-RO"/>
              </w:rPr>
            </w:pPr>
          </w:p>
          <w:p w14:paraId="78D20EFF" w14:textId="77777777" w:rsidR="0039023B" w:rsidRDefault="0039023B" w:rsidP="00571A2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B393E7" w14:textId="77777777" w:rsidR="001879FA" w:rsidRDefault="001879FA" w:rsidP="00571A2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61861CD" w14:textId="77777777" w:rsidR="001879FA" w:rsidRDefault="001879FA" w:rsidP="00571A2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82AFA3A" w14:textId="77777777" w:rsidR="007F28DC" w:rsidRPr="00571A29" w:rsidRDefault="007F28DC" w:rsidP="00571A2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3CE8440" w14:textId="77777777" w:rsidR="00D9579C" w:rsidRPr="00571A29" w:rsidRDefault="00D9579C" w:rsidP="00571A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o-RO"/>
              </w:rPr>
            </w:pPr>
          </w:p>
        </w:tc>
      </w:tr>
    </w:tbl>
    <w:p w14:paraId="52B1AD6A" w14:textId="77777777" w:rsidR="0054130F" w:rsidRDefault="00EC4045" w:rsidP="0054130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</w:t>
      </w:r>
      <w:r w:rsidR="0054130F" w:rsidRPr="00EC4045">
        <w:rPr>
          <w:rFonts w:ascii="Times New Roman" w:hAnsi="Times New Roman" w:cs="Times New Roman"/>
          <w:b/>
          <w:color w:val="000000"/>
          <w:sz w:val="24"/>
          <w:szCs w:val="24"/>
        </w:rPr>
        <w:t>SECRETAR DE STAT</w:t>
      </w:r>
      <w:r w:rsidR="0054130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14:paraId="4ECA6CC6" w14:textId="77777777" w:rsidR="00CA1473" w:rsidRDefault="0054130F" w:rsidP="00CA1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r w:rsidR="00CA1473">
        <w:rPr>
          <w:rFonts w:ascii="Times New Roman" w:hAnsi="Times New Roman" w:cs="Times New Roman"/>
          <w:b/>
          <w:sz w:val="24"/>
          <w:szCs w:val="24"/>
        </w:rPr>
        <w:t>BOGDAN STELIAN MÎNDRESCU</w:t>
      </w:r>
    </w:p>
    <w:p w14:paraId="46BBB7F4" w14:textId="77777777" w:rsidR="00CA1473" w:rsidRPr="00EC4045" w:rsidRDefault="00CA1473" w:rsidP="00CA1473">
      <w:pPr>
        <w:rPr>
          <w:rFonts w:ascii="Times New Roman" w:hAnsi="Times New Roman" w:cs="Times New Roman"/>
          <w:b/>
          <w:sz w:val="24"/>
          <w:szCs w:val="24"/>
        </w:rPr>
      </w:pPr>
    </w:p>
    <w:p w14:paraId="64A994A4" w14:textId="47BA3D31" w:rsidR="0054130F" w:rsidRPr="00EC4045" w:rsidRDefault="0054130F" w:rsidP="00CA14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58B84A98" w14:textId="77777777" w:rsidR="0054130F" w:rsidRPr="00EC4045" w:rsidRDefault="0054130F" w:rsidP="005413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27C17" w14:textId="77777777" w:rsidR="0054130F" w:rsidRPr="00EC4045" w:rsidRDefault="0054130F" w:rsidP="0054130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EC4045">
        <w:rPr>
          <w:rFonts w:ascii="Times New Roman" w:hAnsi="Times New Roman" w:cs="Times New Roman"/>
          <w:b/>
          <w:sz w:val="24"/>
          <w:szCs w:val="24"/>
        </w:rPr>
        <w:t>SECRETAR GENERAL,</w:t>
      </w:r>
    </w:p>
    <w:p w14:paraId="2D2F5426" w14:textId="77777777" w:rsidR="0054130F" w:rsidRPr="00EC4045" w:rsidRDefault="0054130F" w:rsidP="0054130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C4045">
        <w:rPr>
          <w:rFonts w:ascii="Times New Roman" w:hAnsi="Times New Roman" w:cs="Times New Roman"/>
          <w:sz w:val="24"/>
          <w:szCs w:val="24"/>
        </w:rPr>
        <w:tab/>
      </w:r>
      <w:r w:rsidRPr="00EC4045">
        <w:rPr>
          <w:rFonts w:ascii="Times New Roman" w:hAnsi="Times New Roman" w:cs="Times New Roman"/>
          <w:sz w:val="24"/>
          <w:szCs w:val="24"/>
        </w:rPr>
        <w:tab/>
      </w:r>
      <w:r w:rsidRPr="00EC4045">
        <w:rPr>
          <w:rFonts w:ascii="Times New Roman" w:hAnsi="Times New Roman" w:cs="Times New Roman"/>
          <w:sz w:val="24"/>
          <w:szCs w:val="24"/>
        </w:rPr>
        <w:tab/>
      </w:r>
      <w:r w:rsidRPr="00EC404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C4045">
        <w:rPr>
          <w:rFonts w:ascii="Times New Roman" w:hAnsi="Times New Roman" w:cs="Times New Roman"/>
          <w:b/>
          <w:sz w:val="24"/>
          <w:szCs w:val="24"/>
        </w:rPr>
        <w:t>MARIANA IONIȚĂ</w:t>
      </w:r>
    </w:p>
    <w:p w14:paraId="0BBC0ED3" w14:textId="77777777" w:rsidR="0054130F" w:rsidRPr="00EC4045" w:rsidRDefault="0054130F" w:rsidP="0054130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48916009" w14:textId="77777777" w:rsidR="0054130F" w:rsidRPr="00EC4045" w:rsidRDefault="0054130F" w:rsidP="0054130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0C1E19A1" w14:textId="77777777" w:rsidR="0054130F" w:rsidRPr="00EC4045" w:rsidRDefault="0054130F" w:rsidP="0054130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C40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C4045">
        <w:rPr>
          <w:rFonts w:ascii="Times New Roman" w:hAnsi="Times New Roman" w:cs="Times New Roman"/>
          <w:b/>
          <w:sz w:val="24"/>
          <w:szCs w:val="24"/>
        </w:rPr>
        <w:t>SECRETAR GENERAL  ADJUNCT,</w:t>
      </w:r>
    </w:p>
    <w:p w14:paraId="79C9FF97" w14:textId="77777777" w:rsidR="0054130F" w:rsidRPr="00EC4045" w:rsidRDefault="0054130F" w:rsidP="0054130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C4045">
        <w:rPr>
          <w:rFonts w:ascii="Times New Roman" w:hAnsi="Times New Roman" w:cs="Times New Roman"/>
          <w:sz w:val="24"/>
          <w:szCs w:val="24"/>
        </w:rPr>
        <w:tab/>
      </w:r>
      <w:r w:rsidRPr="00EC4045">
        <w:rPr>
          <w:rFonts w:ascii="Times New Roman" w:hAnsi="Times New Roman" w:cs="Times New Roman"/>
          <w:sz w:val="24"/>
          <w:szCs w:val="24"/>
        </w:rPr>
        <w:tab/>
      </w:r>
      <w:r w:rsidRPr="00EC404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C4045">
        <w:rPr>
          <w:rFonts w:ascii="Times New Roman" w:hAnsi="Times New Roman" w:cs="Times New Roman"/>
          <w:b/>
          <w:sz w:val="24"/>
          <w:szCs w:val="24"/>
        </w:rPr>
        <w:t>ADRIAN  DANIEL  GĂVRUȚA</w:t>
      </w:r>
    </w:p>
    <w:p w14:paraId="555F3658" w14:textId="77777777" w:rsidR="0054130F" w:rsidRPr="00EC4045" w:rsidRDefault="0054130F" w:rsidP="0054130F">
      <w:pPr>
        <w:rPr>
          <w:rFonts w:ascii="Times New Roman" w:hAnsi="Times New Roman" w:cs="Times New Roman"/>
          <w:sz w:val="24"/>
          <w:szCs w:val="24"/>
        </w:rPr>
      </w:pPr>
    </w:p>
    <w:p w14:paraId="40B4BCCA" w14:textId="77777777" w:rsidR="0054130F" w:rsidRPr="00EC4045" w:rsidRDefault="0054130F" w:rsidP="0054130F">
      <w:pPr>
        <w:rPr>
          <w:rFonts w:ascii="Times New Roman" w:hAnsi="Times New Roman" w:cs="Times New Roman"/>
          <w:sz w:val="24"/>
          <w:szCs w:val="24"/>
        </w:rPr>
      </w:pPr>
    </w:p>
    <w:p w14:paraId="70BB5DA8" w14:textId="4E595F78" w:rsidR="0054130F" w:rsidRPr="00EC4045" w:rsidRDefault="0054130F" w:rsidP="005413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045">
        <w:rPr>
          <w:rFonts w:ascii="Times New Roman" w:hAnsi="Times New Roman" w:cs="Times New Roman"/>
          <w:b/>
          <w:bCs/>
          <w:sz w:val="24"/>
          <w:szCs w:val="24"/>
        </w:rPr>
        <w:t xml:space="preserve">DIRECŢIA </w:t>
      </w:r>
      <w:r w:rsidR="00F96604">
        <w:rPr>
          <w:rFonts w:ascii="Times New Roman" w:hAnsi="Times New Roman" w:cs="Times New Roman"/>
          <w:b/>
          <w:bCs/>
          <w:sz w:val="24"/>
          <w:szCs w:val="24"/>
        </w:rPr>
        <w:t>JURIDICĂ</w:t>
      </w:r>
    </w:p>
    <w:p w14:paraId="5F04F2C9" w14:textId="77777777" w:rsidR="0054130F" w:rsidRPr="00EC4045" w:rsidRDefault="0054130F" w:rsidP="00541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45">
        <w:rPr>
          <w:rFonts w:ascii="Times New Roman" w:hAnsi="Times New Roman" w:cs="Times New Roman"/>
          <w:b/>
          <w:sz w:val="24"/>
          <w:szCs w:val="24"/>
        </w:rPr>
        <w:t>DIRECTOR,</w:t>
      </w:r>
    </w:p>
    <w:p w14:paraId="5BE2F37E" w14:textId="462EF44E" w:rsidR="0054130F" w:rsidRPr="00EC4045" w:rsidRDefault="00F96604" w:rsidP="00541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ALEXANDRA SAVU</w:t>
      </w:r>
    </w:p>
    <w:p w14:paraId="2CA406E3" w14:textId="77777777" w:rsidR="0054130F" w:rsidRPr="00EC4045" w:rsidRDefault="0054130F" w:rsidP="005413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8EB56" w14:textId="77777777" w:rsidR="0054130F" w:rsidRPr="00EC4045" w:rsidRDefault="0054130F" w:rsidP="005413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916EA" w14:textId="69455759" w:rsidR="0054130F" w:rsidRPr="00EC4045" w:rsidRDefault="0054130F" w:rsidP="0054130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4045">
        <w:rPr>
          <w:rFonts w:ascii="Times New Roman" w:hAnsi="Times New Roman" w:cs="Times New Roman"/>
          <w:b/>
          <w:sz w:val="24"/>
          <w:szCs w:val="24"/>
        </w:rPr>
        <w:t xml:space="preserve">DIRECŢIA TRANSPORT </w:t>
      </w:r>
      <w:r w:rsidR="00CB59AD">
        <w:rPr>
          <w:rFonts w:ascii="Times New Roman" w:hAnsi="Times New Roman" w:cs="Times New Roman"/>
          <w:b/>
          <w:sz w:val="24"/>
          <w:szCs w:val="24"/>
        </w:rPr>
        <w:t>AERIAN</w:t>
      </w:r>
    </w:p>
    <w:p w14:paraId="16D0CC3A" w14:textId="77777777" w:rsidR="0054130F" w:rsidRPr="00EC4045" w:rsidRDefault="0054130F" w:rsidP="00541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45">
        <w:rPr>
          <w:rFonts w:ascii="Times New Roman" w:hAnsi="Times New Roman" w:cs="Times New Roman"/>
          <w:b/>
          <w:sz w:val="24"/>
          <w:szCs w:val="24"/>
        </w:rPr>
        <w:t xml:space="preserve">DIRECTOR, </w:t>
      </w:r>
    </w:p>
    <w:p w14:paraId="63378FE8" w14:textId="40D44855" w:rsidR="0054130F" w:rsidRDefault="00CB59AD" w:rsidP="00541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MIHAIL IONESCU</w:t>
      </w:r>
    </w:p>
    <w:p w14:paraId="65989204" w14:textId="77777777" w:rsidR="00AA7ED6" w:rsidRDefault="00AA7ED6" w:rsidP="00541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6A262" w14:textId="77777777" w:rsidR="0054130F" w:rsidRDefault="0054130F" w:rsidP="00541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057E7" w14:textId="77777777" w:rsidR="0054130F" w:rsidRPr="00EC4045" w:rsidRDefault="0054130F" w:rsidP="00541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90BA4" w14:textId="77777777" w:rsidR="0054130F" w:rsidRDefault="0054130F" w:rsidP="00541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45">
        <w:rPr>
          <w:rFonts w:ascii="Times New Roman" w:hAnsi="Times New Roman" w:cs="Times New Roman"/>
          <w:b/>
          <w:sz w:val="24"/>
          <w:szCs w:val="24"/>
        </w:rPr>
        <w:t xml:space="preserve">DIRECŢIA ECONOMICĂ </w:t>
      </w:r>
    </w:p>
    <w:p w14:paraId="5F305A6F" w14:textId="77777777" w:rsidR="0054130F" w:rsidRPr="00EC4045" w:rsidRDefault="0054130F" w:rsidP="00541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45">
        <w:rPr>
          <w:rFonts w:ascii="Times New Roman" w:hAnsi="Times New Roman" w:cs="Times New Roman"/>
          <w:b/>
          <w:sz w:val="24"/>
          <w:szCs w:val="24"/>
        </w:rPr>
        <w:t>DIRECTOR,</w:t>
      </w:r>
    </w:p>
    <w:p w14:paraId="5D0A3594" w14:textId="16CC7FFA" w:rsidR="0054130F" w:rsidRDefault="0054130F" w:rsidP="00541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G</w:t>
      </w:r>
      <w:r w:rsidR="00F96604">
        <w:rPr>
          <w:rFonts w:ascii="Times New Roman" w:hAnsi="Times New Roman" w:cs="Times New Roman"/>
          <w:b/>
          <w:sz w:val="24"/>
          <w:szCs w:val="24"/>
        </w:rPr>
        <w:t>Î</w:t>
      </w:r>
      <w:r>
        <w:rPr>
          <w:rFonts w:ascii="Times New Roman" w:hAnsi="Times New Roman" w:cs="Times New Roman"/>
          <w:b/>
          <w:sz w:val="24"/>
          <w:szCs w:val="24"/>
        </w:rPr>
        <w:t>RLĂ</w:t>
      </w:r>
    </w:p>
    <w:p w14:paraId="6BB66620" w14:textId="77777777" w:rsidR="0054130F" w:rsidRDefault="0054130F" w:rsidP="00541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8C107" w14:textId="77777777" w:rsidR="0054130F" w:rsidRDefault="0054130F" w:rsidP="00541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1F67E" w14:textId="77777777" w:rsidR="0054130F" w:rsidRDefault="0054130F" w:rsidP="00541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A2E85" w14:textId="77777777" w:rsidR="0054130F" w:rsidRDefault="0054130F" w:rsidP="00541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769A1" w14:textId="77777777" w:rsidR="0054130F" w:rsidRDefault="0054130F" w:rsidP="00541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DIRECȚIA GUVERNANȚĂ CORPORATIVĂ</w:t>
      </w:r>
    </w:p>
    <w:p w14:paraId="142BF9A4" w14:textId="77777777" w:rsidR="0054130F" w:rsidRDefault="0054130F" w:rsidP="00541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DIRECTOR,</w:t>
      </w:r>
    </w:p>
    <w:p w14:paraId="7ACDE265" w14:textId="4CC93647" w:rsidR="00027AD3" w:rsidRPr="00EC4045" w:rsidRDefault="00EC6D88" w:rsidP="000F5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4130F">
        <w:rPr>
          <w:rFonts w:ascii="Times New Roman" w:hAnsi="Times New Roman" w:cs="Times New Roman"/>
          <w:b/>
          <w:sz w:val="24"/>
          <w:szCs w:val="24"/>
        </w:rPr>
        <w:t>VALENTIN PURCĂREAȚĂ</w:t>
      </w:r>
      <w:r w:rsidR="00522F11" w:rsidRPr="00EC4045">
        <w:rPr>
          <w:rFonts w:ascii="Times New Roman" w:hAnsi="Times New Roman" w:cs="Times New Roman"/>
          <w:sz w:val="24"/>
          <w:szCs w:val="24"/>
        </w:rPr>
        <w:tab/>
      </w:r>
      <w:r w:rsidR="00522F11" w:rsidRPr="00EC4045">
        <w:rPr>
          <w:rFonts w:ascii="Times New Roman" w:hAnsi="Times New Roman" w:cs="Times New Roman"/>
          <w:sz w:val="24"/>
          <w:szCs w:val="24"/>
        </w:rPr>
        <w:tab/>
      </w:r>
      <w:r w:rsidR="00522F11" w:rsidRPr="00EC4045">
        <w:rPr>
          <w:rFonts w:ascii="Times New Roman" w:hAnsi="Times New Roman" w:cs="Times New Roman"/>
          <w:sz w:val="24"/>
          <w:szCs w:val="24"/>
        </w:rPr>
        <w:tab/>
      </w:r>
      <w:r w:rsidR="00522F11" w:rsidRPr="00EC4045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sectPr w:rsidR="00027AD3" w:rsidRPr="00EC4045" w:rsidSect="00497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62F24" w14:textId="77777777" w:rsidR="003045D2" w:rsidRDefault="003045D2">
      <w:pPr>
        <w:spacing w:after="0" w:line="240" w:lineRule="auto"/>
      </w:pPr>
      <w:r>
        <w:separator/>
      </w:r>
    </w:p>
  </w:endnote>
  <w:endnote w:type="continuationSeparator" w:id="0">
    <w:p w14:paraId="15464A6D" w14:textId="77777777" w:rsidR="003045D2" w:rsidRDefault="0030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9983A" w14:textId="77777777" w:rsidR="00407E14" w:rsidRDefault="00407E1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E799F" w14:textId="77777777" w:rsidR="00407E14" w:rsidRDefault="00407E14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2941" w14:textId="77777777" w:rsidR="00407E14" w:rsidRDefault="00407E1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707F9" w14:textId="77777777" w:rsidR="003045D2" w:rsidRDefault="003045D2">
      <w:pPr>
        <w:spacing w:after="0" w:line="240" w:lineRule="auto"/>
      </w:pPr>
      <w:r>
        <w:separator/>
      </w:r>
    </w:p>
  </w:footnote>
  <w:footnote w:type="continuationSeparator" w:id="0">
    <w:p w14:paraId="7BA85ACE" w14:textId="77777777" w:rsidR="003045D2" w:rsidRDefault="0030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BAB3" w14:textId="77777777" w:rsidR="00407E14" w:rsidRDefault="00407E1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77C40" w14:textId="77777777" w:rsidR="00407E14" w:rsidRDefault="00407E14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58ACB" w14:textId="77777777" w:rsidR="00407E14" w:rsidRDefault="00407E1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lang w:val="pt-BR"/>
      </w:rPr>
    </w:lvl>
  </w:abstractNum>
  <w:abstractNum w:abstractNumId="2" w15:restartNumberingAfterBreak="0">
    <w:nsid w:val="01B53822"/>
    <w:multiLevelType w:val="hybridMultilevel"/>
    <w:tmpl w:val="7B96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0340A"/>
    <w:multiLevelType w:val="hybridMultilevel"/>
    <w:tmpl w:val="503C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F2CCE"/>
    <w:multiLevelType w:val="multilevel"/>
    <w:tmpl w:val="6FE40D3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688"/>
      <w:numFmt w:val="decimal"/>
      <w:isLgl/>
      <w:lvlText w:val="%1.%2"/>
      <w:lvlJc w:val="left"/>
      <w:pPr>
        <w:ind w:left="136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786184D"/>
    <w:multiLevelType w:val="hybridMultilevel"/>
    <w:tmpl w:val="E13AFA5E"/>
    <w:lvl w:ilvl="0" w:tplc="01A2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AD"/>
    <w:multiLevelType w:val="hybridMultilevel"/>
    <w:tmpl w:val="49A807E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ED57F9F"/>
    <w:multiLevelType w:val="hybridMultilevel"/>
    <w:tmpl w:val="DD40947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867386"/>
    <w:multiLevelType w:val="hybridMultilevel"/>
    <w:tmpl w:val="174A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0028F"/>
    <w:multiLevelType w:val="hybridMultilevel"/>
    <w:tmpl w:val="C23623C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F8421E"/>
    <w:multiLevelType w:val="hybridMultilevel"/>
    <w:tmpl w:val="10EC7F84"/>
    <w:lvl w:ilvl="0" w:tplc="61DA791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67F3A"/>
    <w:multiLevelType w:val="hybridMultilevel"/>
    <w:tmpl w:val="47EEF8FC"/>
    <w:lvl w:ilvl="0" w:tplc="0418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3CAA18E2"/>
    <w:multiLevelType w:val="hybridMultilevel"/>
    <w:tmpl w:val="97FC20CA"/>
    <w:lvl w:ilvl="0" w:tplc="0418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1D533D"/>
    <w:multiLevelType w:val="hybridMultilevel"/>
    <w:tmpl w:val="E4F4DFE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3A2CA5"/>
    <w:multiLevelType w:val="hybridMultilevel"/>
    <w:tmpl w:val="9FF055E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B2021F"/>
    <w:multiLevelType w:val="hybridMultilevel"/>
    <w:tmpl w:val="8D84840A"/>
    <w:lvl w:ilvl="0" w:tplc="6D8E68B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572FF"/>
    <w:multiLevelType w:val="hybridMultilevel"/>
    <w:tmpl w:val="FB50D75C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3E4C43"/>
    <w:multiLevelType w:val="hybridMultilevel"/>
    <w:tmpl w:val="1264C618"/>
    <w:lvl w:ilvl="0" w:tplc="0E3687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D6702"/>
    <w:multiLevelType w:val="hybridMultilevel"/>
    <w:tmpl w:val="D360C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52879"/>
    <w:multiLevelType w:val="hybridMultilevel"/>
    <w:tmpl w:val="D10AFB9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316E3E"/>
    <w:multiLevelType w:val="hybridMultilevel"/>
    <w:tmpl w:val="5A9687D8"/>
    <w:lvl w:ilvl="0" w:tplc="D8BA03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E6ECD"/>
    <w:multiLevelType w:val="hybridMultilevel"/>
    <w:tmpl w:val="0A3014B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D31B4D"/>
    <w:multiLevelType w:val="hybridMultilevel"/>
    <w:tmpl w:val="38CA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87407"/>
    <w:multiLevelType w:val="hybridMultilevel"/>
    <w:tmpl w:val="1B0296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20981">
    <w:abstractNumId w:val="13"/>
  </w:num>
  <w:num w:numId="2" w16cid:durableId="908734702">
    <w:abstractNumId w:val="14"/>
  </w:num>
  <w:num w:numId="3" w16cid:durableId="1494176403">
    <w:abstractNumId w:val="9"/>
  </w:num>
  <w:num w:numId="4" w16cid:durableId="1794516304">
    <w:abstractNumId w:val="7"/>
  </w:num>
  <w:num w:numId="5" w16cid:durableId="1164475489">
    <w:abstractNumId w:val="21"/>
  </w:num>
  <w:num w:numId="6" w16cid:durableId="467818889">
    <w:abstractNumId w:val="19"/>
  </w:num>
  <w:num w:numId="7" w16cid:durableId="2098137299">
    <w:abstractNumId w:val="18"/>
  </w:num>
  <w:num w:numId="8" w16cid:durableId="880478423">
    <w:abstractNumId w:val="20"/>
  </w:num>
  <w:num w:numId="9" w16cid:durableId="857548302">
    <w:abstractNumId w:val="15"/>
  </w:num>
  <w:num w:numId="10" w16cid:durableId="679431006">
    <w:abstractNumId w:val="10"/>
  </w:num>
  <w:num w:numId="11" w16cid:durableId="80104952">
    <w:abstractNumId w:val="5"/>
  </w:num>
  <w:num w:numId="12" w16cid:durableId="989601235">
    <w:abstractNumId w:val="12"/>
  </w:num>
  <w:num w:numId="13" w16cid:durableId="1006786283">
    <w:abstractNumId w:val="11"/>
  </w:num>
  <w:num w:numId="14" w16cid:durableId="459694317">
    <w:abstractNumId w:val="16"/>
  </w:num>
  <w:num w:numId="15" w16cid:durableId="1736007999">
    <w:abstractNumId w:val="6"/>
  </w:num>
  <w:num w:numId="16" w16cid:durableId="1459908796">
    <w:abstractNumId w:val="22"/>
  </w:num>
  <w:num w:numId="17" w16cid:durableId="638145604">
    <w:abstractNumId w:val="2"/>
  </w:num>
  <w:num w:numId="18" w16cid:durableId="91123022">
    <w:abstractNumId w:val="8"/>
  </w:num>
  <w:num w:numId="19" w16cid:durableId="967466706">
    <w:abstractNumId w:val="23"/>
  </w:num>
  <w:num w:numId="20" w16cid:durableId="1888948360">
    <w:abstractNumId w:val="4"/>
  </w:num>
  <w:num w:numId="21" w16cid:durableId="1115978116">
    <w:abstractNumId w:val="3"/>
  </w:num>
  <w:num w:numId="22" w16cid:durableId="4229525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CD"/>
    <w:rsid w:val="00000D47"/>
    <w:rsid w:val="00001BC5"/>
    <w:rsid w:val="00005D52"/>
    <w:rsid w:val="000107A3"/>
    <w:rsid w:val="00010F74"/>
    <w:rsid w:val="00011A4F"/>
    <w:rsid w:val="0001216C"/>
    <w:rsid w:val="00012931"/>
    <w:rsid w:val="00013941"/>
    <w:rsid w:val="00014B00"/>
    <w:rsid w:val="000155AB"/>
    <w:rsid w:val="00015FD1"/>
    <w:rsid w:val="00020637"/>
    <w:rsid w:val="00021A58"/>
    <w:rsid w:val="00021E16"/>
    <w:rsid w:val="00024ABC"/>
    <w:rsid w:val="00025D4B"/>
    <w:rsid w:val="000266B8"/>
    <w:rsid w:val="00027AD3"/>
    <w:rsid w:val="000315DE"/>
    <w:rsid w:val="00033A1A"/>
    <w:rsid w:val="00035729"/>
    <w:rsid w:val="00036583"/>
    <w:rsid w:val="00037C16"/>
    <w:rsid w:val="00050997"/>
    <w:rsid w:val="00052854"/>
    <w:rsid w:val="0005308A"/>
    <w:rsid w:val="0005407E"/>
    <w:rsid w:val="000548A2"/>
    <w:rsid w:val="000548DA"/>
    <w:rsid w:val="00055832"/>
    <w:rsid w:val="0005722A"/>
    <w:rsid w:val="0006272D"/>
    <w:rsid w:val="00062BFA"/>
    <w:rsid w:val="00063325"/>
    <w:rsid w:val="0006455B"/>
    <w:rsid w:val="000668A8"/>
    <w:rsid w:val="00067E6A"/>
    <w:rsid w:val="00070A4A"/>
    <w:rsid w:val="00071E9B"/>
    <w:rsid w:val="000750CC"/>
    <w:rsid w:val="000753BF"/>
    <w:rsid w:val="00075C79"/>
    <w:rsid w:val="00076547"/>
    <w:rsid w:val="000772C4"/>
    <w:rsid w:val="00080602"/>
    <w:rsid w:val="000831D3"/>
    <w:rsid w:val="00085318"/>
    <w:rsid w:val="00086F08"/>
    <w:rsid w:val="00090B77"/>
    <w:rsid w:val="0009530E"/>
    <w:rsid w:val="000956DD"/>
    <w:rsid w:val="00096301"/>
    <w:rsid w:val="00097A25"/>
    <w:rsid w:val="00097A2C"/>
    <w:rsid w:val="000A0FFA"/>
    <w:rsid w:val="000A3A4D"/>
    <w:rsid w:val="000A479D"/>
    <w:rsid w:val="000A64B8"/>
    <w:rsid w:val="000A65DF"/>
    <w:rsid w:val="000B0D44"/>
    <w:rsid w:val="000B2174"/>
    <w:rsid w:val="000B46F8"/>
    <w:rsid w:val="000B4C57"/>
    <w:rsid w:val="000B5AAD"/>
    <w:rsid w:val="000C0F35"/>
    <w:rsid w:val="000C3043"/>
    <w:rsid w:val="000C55FB"/>
    <w:rsid w:val="000C584B"/>
    <w:rsid w:val="000C637C"/>
    <w:rsid w:val="000C73A7"/>
    <w:rsid w:val="000C75BC"/>
    <w:rsid w:val="000D115C"/>
    <w:rsid w:val="000D16E2"/>
    <w:rsid w:val="000D18B5"/>
    <w:rsid w:val="000D2536"/>
    <w:rsid w:val="000D253C"/>
    <w:rsid w:val="000D4448"/>
    <w:rsid w:val="000D54A5"/>
    <w:rsid w:val="000D5865"/>
    <w:rsid w:val="000D7478"/>
    <w:rsid w:val="000D78B8"/>
    <w:rsid w:val="000E0A16"/>
    <w:rsid w:val="000E3E62"/>
    <w:rsid w:val="000E441D"/>
    <w:rsid w:val="000E66D7"/>
    <w:rsid w:val="000F227F"/>
    <w:rsid w:val="000F2A9C"/>
    <w:rsid w:val="000F4BE5"/>
    <w:rsid w:val="000F5CD0"/>
    <w:rsid w:val="000F638E"/>
    <w:rsid w:val="000F6CEB"/>
    <w:rsid w:val="000F7A2E"/>
    <w:rsid w:val="00100C24"/>
    <w:rsid w:val="00100EB5"/>
    <w:rsid w:val="00101CEC"/>
    <w:rsid w:val="00101D76"/>
    <w:rsid w:val="001024E8"/>
    <w:rsid w:val="0010394D"/>
    <w:rsid w:val="00105018"/>
    <w:rsid w:val="001050B5"/>
    <w:rsid w:val="001121EF"/>
    <w:rsid w:val="0011648D"/>
    <w:rsid w:val="001206CA"/>
    <w:rsid w:val="00122E26"/>
    <w:rsid w:val="001236D1"/>
    <w:rsid w:val="0012531D"/>
    <w:rsid w:val="00125588"/>
    <w:rsid w:val="00126F77"/>
    <w:rsid w:val="00130C41"/>
    <w:rsid w:val="00130CD6"/>
    <w:rsid w:val="00132C57"/>
    <w:rsid w:val="00132EB8"/>
    <w:rsid w:val="001342F8"/>
    <w:rsid w:val="001363DD"/>
    <w:rsid w:val="001364C6"/>
    <w:rsid w:val="001365E1"/>
    <w:rsid w:val="00137350"/>
    <w:rsid w:val="00140672"/>
    <w:rsid w:val="0014092F"/>
    <w:rsid w:val="0014399A"/>
    <w:rsid w:val="00146416"/>
    <w:rsid w:val="001502E8"/>
    <w:rsid w:val="0015347A"/>
    <w:rsid w:val="0015372F"/>
    <w:rsid w:val="0015389E"/>
    <w:rsid w:val="0015433D"/>
    <w:rsid w:val="00157582"/>
    <w:rsid w:val="00157E74"/>
    <w:rsid w:val="00160864"/>
    <w:rsid w:val="00162D6C"/>
    <w:rsid w:val="001636BF"/>
    <w:rsid w:val="00165738"/>
    <w:rsid w:val="001660C9"/>
    <w:rsid w:val="001664A6"/>
    <w:rsid w:val="00170166"/>
    <w:rsid w:val="00172282"/>
    <w:rsid w:val="00174C22"/>
    <w:rsid w:val="00174CD3"/>
    <w:rsid w:val="00176364"/>
    <w:rsid w:val="00177EFB"/>
    <w:rsid w:val="00177FA1"/>
    <w:rsid w:val="0018225C"/>
    <w:rsid w:val="00182689"/>
    <w:rsid w:val="001842A5"/>
    <w:rsid w:val="001857F8"/>
    <w:rsid w:val="001863FD"/>
    <w:rsid w:val="001879FA"/>
    <w:rsid w:val="001924AE"/>
    <w:rsid w:val="00193816"/>
    <w:rsid w:val="00196789"/>
    <w:rsid w:val="001A0E0E"/>
    <w:rsid w:val="001A1E8C"/>
    <w:rsid w:val="001A1EB9"/>
    <w:rsid w:val="001A22EB"/>
    <w:rsid w:val="001A28DA"/>
    <w:rsid w:val="001A61D2"/>
    <w:rsid w:val="001B1CAE"/>
    <w:rsid w:val="001B1D85"/>
    <w:rsid w:val="001B4D62"/>
    <w:rsid w:val="001B5B9C"/>
    <w:rsid w:val="001B657B"/>
    <w:rsid w:val="001B65EC"/>
    <w:rsid w:val="001B73E3"/>
    <w:rsid w:val="001C012A"/>
    <w:rsid w:val="001C101B"/>
    <w:rsid w:val="001C1EC3"/>
    <w:rsid w:val="001C21F4"/>
    <w:rsid w:val="001C24EB"/>
    <w:rsid w:val="001C48F9"/>
    <w:rsid w:val="001C67F9"/>
    <w:rsid w:val="001C6945"/>
    <w:rsid w:val="001C6F04"/>
    <w:rsid w:val="001D0054"/>
    <w:rsid w:val="001D0194"/>
    <w:rsid w:val="001D0454"/>
    <w:rsid w:val="001D2622"/>
    <w:rsid w:val="001D2CA4"/>
    <w:rsid w:val="001D3073"/>
    <w:rsid w:val="001D3AEC"/>
    <w:rsid w:val="001D7A01"/>
    <w:rsid w:val="001E0BF4"/>
    <w:rsid w:val="001E11AA"/>
    <w:rsid w:val="001E2329"/>
    <w:rsid w:val="001E2EA4"/>
    <w:rsid w:val="001E32D3"/>
    <w:rsid w:val="001E6BF0"/>
    <w:rsid w:val="001F3A7D"/>
    <w:rsid w:val="001F3D78"/>
    <w:rsid w:val="001F3EA1"/>
    <w:rsid w:val="001F5127"/>
    <w:rsid w:val="002014C0"/>
    <w:rsid w:val="00202776"/>
    <w:rsid w:val="00203A9B"/>
    <w:rsid w:val="00203AF9"/>
    <w:rsid w:val="00204479"/>
    <w:rsid w:val="002056A3"/>
    <w:rsid w:val="0020643F"/>
    <w:rsid w:val="00207BC4"/>
    <w:rsid w:val="00211391"/>
    <w:rsid w:val="0021256A"/>
    <w:rsid w:val="00215C19"/>
    <w:rsid w:val="002168CD"/>
    <w:rsid w:val="00217138"/>
    <w:rsid w:val="002221ED"/>
    <w:rsid w:val="0022235F"/>
    <w:rsid w:val="00226565"/>
    <w:rsid w:val="0022745F"/>
    <w:rsid w:val="00227B68"/>
    <w:rsid w:val="00227E7B"/>
    <w:rsid w:val="0023150B"/>
    <w:rsid w:val="00233E0E"/>
    <w:rsid w:val="0023551B"/>
    <w:rsid w:val="0023558C"/>
    <w:rsid w:val="00237235"/>
    <w:rsid w:val="00237969"/>
    <w:rsid w:val="00237BC8"/>
    <w:rsid w:val="00240901"/>
    <w:rsid w:val="002409D6"/>
    <w:rsid w:val="00242C2F"/>
    <w:rsid w:val="002434BD"/>
    <w:rsid w:val="00244D9E"/>
    <w:rsid w:val="00245A69"/>
    <w:rsid w:val="00245B7D"/>
    <w:rsid w:val="00246A4C"/>
    <w:rsid w:val="0024739B"/>
    <w:rsid w:val="00250043"/>
    <w:rsid w:val="00250389"/>
    <w:rsid w:val="002513F6"/>
    <w:rsid w:val="00252445"/>
    <w:rsid w:val="00253B5C"/>
    <w:rsid w:val="002546FF"/>
    <w:rsid w:val="00254A09"/>
    <w:rsid w:val="002565B1"/>
    <w:rsid w:val="002614DB"/>
    <w:rsid w:val="00261905"/>
    <w:rsid w:val="002640E9"/>
    <w:rsid w:val="00264D0C"/>
    <w:rsid w:val="00267649"/>
    <w:rsid w:val="00267895"/>
    <w:rsid w:val="002705BC"/>
    <w:rsid w:val="00271F9C"/>
    <w:rsid w:val="00272101"/>
    <w:rsid w:val="00272A62"/>
    <w:rsid w:val="0027420E"/>
    <w:rsid w:val="00274AA5"/>
    <w:rsid w:val="00274DEE"/>
    <w:rsid w:val="00277638"/>
    <w:rsid w:val="00277DB2"/>
    <w:rsid w:val="002805FD"/>
    <w:rsid w:val="00280DDA"/>
    <w:rsid w:val="002827C9"/>
    <w:rsid w:val="00283802"/>
    <w:rsid w:val="00286328"/>
    <w:rsid w:val="002867EF"/>
    <w:rsid w:val="002909E5"/>
    <w:rsid w:val="002912B2"/>
    <w:rsid w:val="002927A0"/>
    <w:rsid w:val="00292E50"/>
    <w:rsid w:val="00292EC3"/>
    <w:rsid w:val="00295B85"/>
    <w:rsid w:val="002970DB"/>
    <w:rsid w:val="002A22A6"/>
    <w:rsid w:val="002A4153"/>
    <w:rsid w:val="002A4FE7"/>
    <w:rsid w:val="002A594C"/>
    <w:rsid w:val="002A653B"/>
    <w:rsid w:val="002A6A8A"/>
    <w:rsid w:val="002A7F7D"/>
    <w:rsid w:val="002B04A2"/>
    <w:rsid w:val="002B1862"/>
    <w:rsid w:val="002B2C5A"/>
    <w:rsid w:val="002B4BB1"/>
    <w:rsid w:val="002B4CC5"/>
    <w:rsid w:val="002B629E"/>
    <w:rsid w:val="002B6A16"/>
    <w:rsid w:val="002B7BC5"/>
    <w:rsid w:val="002C0F92"/>
    <w:rsid w:val="002C3750"/>
    <w:rsid w:val="002C3A85"/>
    <w:rsid w:val="002C3E74"/>
    <w:rsid w:val="002C48B3"/>
    <w:rsid w:val="002C70CA"/>
    <w:rsid w:val="002D25EE"/>
    <w:rsid w:val="002D331A"/>
    <w:rsid w:val="002D718E"/>
    <w:rsid w:val="002D72B5"/>
    <w:rsid w:val="002E30E5"/>
    <w:rsid w:val="002E34E6"/>
    <w:rsid w:val="002E4DE4"/>
    <w:rsid w:val="002E4ECA"/>
    <w:rsid w:val="002E739C"/>
    <w:rsid w:val="002E74DB"/>
    <w:rsid w:val="002F2D66"/>
    <w:rsid w:val="002F2ED7"/>
    <w:rsid w:val="002F4461"/>
    <w:rsid w:val="002F44A4"/>
    <w:rsid w:val="002F6D8D"/>
    <w:rsid w:val="002F79B5"/>
    <w:rsid w:val="002F7FF7"/>
    <w:rsid w:val="003013F1"/>
    <w:rsid w:val="0030257B"/>
    <w:rsid w:val="003032C1"/>
    <w:rsid w:val="003045D2"/>
    <w:rsid w:val="00304B6A"/>
    <w:rsid w:val="00304CCC"/>
    <w:rsid w:val="003053F0"/>
    <w:rsid w:val="00307587"/>
    <w:rsid w:val="00310EE2"/>
    <w:rsid w:val="00310FDE"/>
    <w:rsid w:val="003117EA"/>
    <w:rsid w:val="003122B3"/>
    <w:rsid w:val="00314BF0"/>
    <w:rsid w:val="00315165"/>
    <w:rsid w:val="00316690"/>
    <w:rsid w:val="00317B7F"/>
    <w:rsid w:val="0032018D"/>
    <w:rsid w:val="003217BA"/>
    <w:rsid w:val="00322C46"/>
    <w:rsid w:val="003239B0"/>
    <w:rsid w:val="003247F9"/>
    <w:rsid w:val="00326F2A"/>
    <w:rsid w:val="003271EE"/>
    <w:rsid w:val="00327347"/>
    <w:rsid w:val="00330C97"/>
    <w:rsid w:val="0033173D"/>
    <w:rsid w:val="003324EA"/>
    <w:rsid w:val="00332A7F"/>
    <w:rsid w:val="00336311"/>
    <w:rsid w:val="00337DD9"/>
    <w:rsid w:val="003407ED"/>
    <w:rsid w:val="003412C6"/>
    <w:rsid w:val="00341EF1"/>
    <w:rsid w:val="003429B9"/>
    <w:rsid w:val="00342D84"/>
    <w:rsid w:val="00344DB0"/>
    <w:rsid w:val="00345080"/>
    <w:rsid w:val="00347378"/>
    <w:rsid w:val="003479AA"/>
    <w:rsid w:val="0035111F"/>
    <w:rsid w:val="003529EB"/>
    <w:rsid w:val="003555D3"/>
    <w:rsid w:val="0035650F"/>
    <w:rsid w:val="003610AC"/>
    <w:rsid w:val="00361BE8"/>
    <w:rsid w:val="0036208C"/>
    <w:rsid w:val="00363337"/>
    <w:rsid w:val="0036354E"/>
    <w:rsid w:val="00363601"/>
    <w:rsid w:val="00364C4D"/>
    <w:rsid w:val="00364E8A"/>
    <w:rsid w:val="0037262E"/>
    <w:rsid w:val="0037568A"/>
    <w:rsid w:val="003778CC"/>
    <w:rsid w:val="00380054"/>
    <w:rsid w:val="0038149C"/>
    <w:rsid w:val="00382C75"/>
    <w:rsid w:val="00382CF8"/>
    <w:rsid w:val="0039023B"/>
    <w:rsid w:val="003920FF"/>
    <w:rsid w:val="00392127"/>
    <w:rsid w:val="0039538F"/>
    <w:rsid w:val="00395558"/>
    <w:rsid w:val="003A2903"/>
    <w:rsid w:val="003A5320"/>
    <w:rsid w:val="003A6839"/>
    <w:rsid w:val="003A79CE"/>
    <w:rsid w:val="003A7DBC"/>
    <w:rsid w:val="003B0A39"/>
    <w:rsid w:val="003B0F66"/>
    <w:rsid w:val="003B1555"/>
    <w:rsid w:val="003B2353"/>
    <w:rsid w:val="003B2771"/>
    <w:rsid w:val="003B5162"/>
    <w:rsid w:val="003B5290"/>
    <w:rsid w:val="003B6B5A"/>
    <w:rsid w:val="003B7FF2"/>
    <w:rsid w:val="003C2D5F"/>
    <w:rsid w:val="003C4303"/>
    <w:rsid w:val="003C4E01"/>
    <w:rsid w:val="003C7765"/>
    <w:rsid w:val="003D03DA"/>
    <w:rsid w:val="003D0812"/>
    <w:rsid w:val="003D0DA4"/>
    <w:rsid w:val="003D40B0"/>
    <w:rsid w:val="003D450F"/>
    <w:rsid w:val="003D6AC5"/>
    <w:rsid w:val="003E145F"/>
    <w:rsid w:val="003E17E8"/>
    <w:rsid w:val="003E41F6"/>
    <w:rsid w:val="003E5836"/>
    <w:rsid w:val="003E5D16"/>
    <w:rsid w:val="003E5E2C"/>
    <w:rsid w:val="003E5ED1"/>
    <w:rsid w:val="003E648D"/>
    <w:rsid w:val="003F03AA"/>
    <w:rsid w:val="003F08D7"/>
    <w:rsid w:val="003F2D30"/>
    <w:rsid w:val="003F2E2F"/>
    <w:rsid w:val="003F4725"/>
    <w:rsid w:val="003F63B0"/>
    <w:rsid w:val="004009DB"/>
    <w:rsid w:val="00403940"/>
    <w:rsid w:val="00403A14"/>
    <w:rsid w:val="004059FA"/>
    <w:rsid w:val="00406152"/>
    <w:rsid w:val="00407862"/>
    <w:rsid w:val="00407E14"/>
    <w:rsid w:val="0041160D"/>
    <w:rsid w:val="00411AA3"/>
    <w:rsid w:val="00411F86"/>
    <w:rsid w:val="00413B68"/>
    <w:rsid w:val="00416672"/>
    <w:rsid w:val="004209D0"/>
    <w:rsid w:val="004223E0"/>
    <w:rsid w:val="004229D2"/>
    <w:rsid w:val="0042485E"/>
    <w:rsid w:val="00435B1E"/>
    <w:rsid w:val="00440E17"/>
    <w:rsid w:val="0044373F"/>
    <w:rsid w:val="00444D33"/>
    <w:rsid w:val="00451248"/>
    <w:rsid w:val="004531B8"/>
    <w:rsid w:val="00453201"/>
    <w:rsid w:val="0045464D"/>
    <w:rsid w:val="00456BA7"/>
    <w:rsid w:val="0045719A"/>
    <w:rsid w:val="00463D73"/>
    <w:rsid w:val="00464D53"/>
    <w:rsid w:val="00465F97"/>
    <w:rsid w:val="00466697"/>
    <w:rsid w:val="00470A0A"/>
    <w:rsid w:val="00471E48"/>
    <w:rsid w:val="004745A3"/>
    <w:rsid w:val="00474BC6"/>
    <w:rsid w:val="00474D64"/>
    <w:rsid w:val="004753F0"/>
    <w:rsid w:val="00476E18"/>
    <w:rsid w:val="004771EE"/>
    <w:rsid w:val="00480249"/>
    <w:rsid w:val="004831D6"/>
    <w:rsid w:val="00484223"/>
    <w:rsid w:val="004855EC"/>
    <w:rsid w:val="00486CD7"/>
    <w:rsid w:val="00491329"/>
    <w:rsid w:val="004931B7"/>
    <w:rsid w:val="004948DB"/>
    <w:rsid w:val="00495EB4"/>
    <w:rsid w:val="00496BCE"/>
    <w:rsid w:val="00497023"/>
    <w:rsid w:val="004A0046"/>
    <w:rsid w:val="004A055F"/>
    <w:rsid w:val="004A1D8A"/>
    <w:rsid w:val="004A22FA"/>
    <w:rsid w:val="004B08C9"/>
    <w:rsid w:val="004B11CA"/>
    <w:rsid w:val="004B2C8C"/>
    <w:rsid w:val="004B3569"/>
    <w:rsid w:val="004B3B8C"/>
    <w:rsid w:val="004B42C5"/>
    <w:rsid w:val="004B4A1F"/>
    <w:rsid w:val="004B53CD"/>
    <w:rsid w:val="004B592C"/>
    <w:rsid w:val="004B6537"/>
    <w:rsid w:val="004B6782"/>
    <w:rsid w:val="004B6B22"/>
    <w:rsid w:val="004C0EE5"/>
    <w:rsid w:val="004C5047"/>
    <w:rsid w:val="004C69A9"/>
    <w:rsid w:val="004D0D5A"/>
    <w:rsid w:val="004D2CED"/>
    <w:rsid w:val="004D378E"/>
    <w:rsid w:val="004D3B9B"/>
    <w:rsid w:val="004D4616"/>
    <w:rsid w:val="004D5168"/>
    <w:rsid w:val="004D62C3"/>
    <w:rsid w:val="004D7014"/>
    <w:rsid w:val="004E0C92"/>
    <w:rsid w:val="004E13EA"/>
    <w:rsid w:val="004E33E2"/>
    <w:rsid w:val="004E494A"/>
    <w:rsid w:val="004E7C76"/>
    <w:rsid w:val="004F3EA3"/>
    <w:rsid w:val="004F418C"/>
    <w:rsid w:val="004F475D"/>
    <w:rsid w:val="004F4AC7"/>
    <w:rsid w:val="004F51DC"/>
    <w:rsid w:val="00501786"/>
    <w:rsid w:val="00501AE4"/>
    <w:rsid w:val="00505790"/>
    <w:rsid w:val="0050794B"/>
    <w:rsid w:val="005145E9"/>
    <w:rsid w:val="00516264"/>
    <w:rsid w:val="00517225"/>
    <w:rsid w:val="005175E2"/>
    <w:rsid w:val="005202F8"/>
    <w:rsid w:val="00521D07"/>
    <w:rsid w:val="00522F11"/>
    <w:rsid w:val="005236F6"/>
    <w:rsid w:val="005241A7"/>
    <w:rsid w:val="005246BE"/>
    <w:rsid w:val="0052757A"/>
    <w:rsid w:val="00527D7C"/>
    <w:rsid w:val="00527F6C"/>
    <w:rsid w:val="00530DAB"/>
    <w:rsid w:val="00533DB2"/>
    <w:rsid w:val="00535887"/>
    <w:rsid w:val="00535D68"/>
    <w:rsid w:val="005374D0"/>
    <w:rsid w:val="00540A45"/>
    <w:rsid w:val="005411C0"/>
    <w:rsid w:val="0054130F"/>
    <w:rsid w:val="00541C2A"/>
    <w:rsid w:val="005436B7"/>
    <w:rsid w:val="00544064"/>
    <w:rsid w:val="005442E5"/>
    <w:rsid w:val="00544870"/>
    <w:rsid w:val="005450B7"/>
    <w:rsid w:val="00546691"/>
    <w:rsid w:val="0054719F"/>
    <w:rsid w:val="0054768E"/>
    <w:rsid w:val="00553E71"/>
    <w:rsid w:val="00560440"/>
    <w:rsid w:val="00564241"/>
    <w:rsid w:val="00565A2E"/>
    <w:rsid w:val="00567955"/>
    <w:rsid w:val="00571A29"/>
    <w:rsid w:val="00575426"/>
    <w:rsid w:val="0057767C"/>
    <w:rsid w:val="005832A7"/>
    <w:rsid w:val="00584441"/>
    <w:rsid w:val="005857BF"/>
    <w:rsid w:val="00585FB9"/>
    <w:rsid w:val="005872B5"/>
    <w:rsid w:val="0058743C"/>
    <w:rsid w:val="0058783D"/>
    <w:rsid w:val="00590D24"/>
    <w:rsid w:val="005913AE"/>
    <w:rsid w:val="00591F13"/>
    <w:rsid w:val="00593FF2"/>
    <w:rsid w:val="0059417C"/>
    <w:rsid w:val="0059500F"/>
    <w:rsid w:val="0059772E"/>
    <w:rsid w:val="005A0027"/>
    <w:rsid w:val="005A29F0"/>
    <w:rsid w:val="005A2B7A"/>
    <w:rsid w:val="005A3062"/>
    <w:rsid w:val="005A563F"/>
    <w:rsid w:val="005B11DA"/>
    <w:rsid w:val="005B1A9E"/>
    <w:rsid w:val="005B1D8D"/>
    <w:rsid w:val="005B26D1"/>
    <w:rsid w:val="005B38B4"/>
    <w:rsid w:val="005B495A"/>
    <w:rsid w:val="005C0025"/>
    <w:rsid w:val="005C0D33"/>
    <w:rsid w:val="005C2677"/>
    <w:rsid w:val="005C3C2F"/>
    <w:rsid w:val="005C3EA7"/>
    <w:rsid w:val="005C4F79"/>
    <w:rsid w:val="005C7B21"/>
    <w:rsid w:val="005D154D"/>
    <w:rsid w:val="005D3AD1"/>
    <w:rsid w:val="005D4155"/>
    <w:rsid w:val="005D4369"/>
    <w:rsid w:val="005D4E68"/>
    <w:rsid w:val="005D4ED4"/>
    <w:rsid w:val="005D5107"/>
    <w:rsid w:val="005D6CB1"/>
    <w:rsid w:val="005D719A"/>
    <w:rsid w:val="005E09D4"/>
    <w:rsid w:val="005E2EC7"/>
    <w:rsid w:val="005E32EB"/>
    <w:rsid w:val="005E350C"/>
    <w:rsid w:val="005E42DC"/>
    <w:rsid w:val="005E47DC"/>
    <w:rsid w:val="005E5140"/>
    <w:rsid w:val="005F1C9B"/>
    <w:rsid w:val="005F3152"/>
    <w:rsid w:val="005F34FE"/>
    <w:rsid w:val="005F457B"/>
    <w:rsid w:val="005F7AD1"/>
    <w:rsid w:val="00601F44"/>
    <w:rsid w:val="00605C88"/>
    <w:rsid w:val="00611359"/>
    <w:rsid w:val="00612132"/>
    <w:rsid w:val="0061268A"/>
    <w:rsid w:val="00613121"/>
    <w:rsid w:val="006151D0"/>
    <w:rsid w:val="0061524D"/>
    <w:rsid w:val="00615403"/>
    <w:rsid w:val="0061592C"/>
    <w:rsid w:val="00616A9E"/>
    <w:rsid w:val="00617347"/>
    <w:rsid w:val="0062000C"/>
    <w:rsid w:val="00622066"/>
    <w:rsid w:val="0062260A"/>
    <w:rsid w:val="00622A26"/>
    <w:rsid w:val="0063201A"/>
    <w:rsid w:val="006331CC"/>
    <w:rsid w:val="006333F1"/>
    <w:rsid w:val="00634A61"/>
    <w:rsid w:val="00635DE2"/>
    <w:rsid w:val="00635E75"/>
    <w:rsid w:val="0063781C"/>
    <w:rsid w:val="00637908"/>
    <w:rsid w:val="006414ED"/>
    <w:rsid w:val="00641730"/>
    <w:rsid w:val="00644359"/>
    <w:rsid w:val="00644F60"/>
    <w:rsid w:val="00646A4D"/>
    <w:rsid w:val="00647025"/>
    <w:rsid w:val="00647A0F"/>
    <w:rsid w:val="00650B1D"/>
    <w:rsid w:val="00653FD3"/>
    <w:rsid w:val="00655601"/>
    <w:rsid w:val="0065674F"/>
    <w:rsid w:val="006577A5"/>
    <w:rsid w:val="00660283"/>
    <w:rsid w:val="00661207"/>
    <w:rsid w:val="00661224"/>
    <w:rsid w:val="00661B08"/>
    <w:rsid w:val="006629D1"/>
    <w:rsid w:val="006637A4"/>
    <w:rsid w:val="00665995"/>
    <w:rsid w:val="00665A5E"/>
    <w:rsid w:val="00665BBE"/>
    <w:rsid w:val="0067087B"/>
    <w:rsid w:val="00671C3F"/>
    <w:rsid w:val="00672C92"/>
    <w:rsid w:val="0067386B"/>
    <w:rsid w:val="00673B0F"/>
    <w:rsid w:val="006742E9"/>
    <w:rsid w:val="006747DC"/>
    <w:rsid w:val="0067556F"/>
    <w:rsid w:val="00676060"/>
    <w:rsid w:val="00676674"/>
    <w:rsid w:val="0067669A"/>
    <w:rsid w:val="00677002"/>
    <w:rsid w:val="006775E8"/>
    <w:rsid w:val="006809C9"/>
    <w:rsid w:val="00681C34"/>
    <w:rsid w:val="00682D44"/>
    <w:rsid w:val="00683036"/>
    <w:rsid w:val="00683166"/>
    <w:rsid w:val="00683C6C"/>
    <w:rsid w:val="006843FF"/>
    <w:rsid w:val="0068455C"/>
    <w:rsid w:val="00686390"/>
    <w:rsid w:val="00691B8E"/>
    <w:rsid w:val="00692230"/>
    <w:rsid w:val="00692656"/>
    <w:rsid w:val="00695CB4"/>
    <w:rsid w:val="006A111D"/>
    <w:rsid w:val="006A2515"/>
    <w:rsid w:val="006A6036"/>
    <w:rsid w:val="006B43F1"/>
    <w:rsid w:val="006B6476"/>
    <w:rsid w:val="006B75DC"/>
    <w:rsid w:val="006C0F94"/>
    <w:rsid w:val="006C1790"/>
    <w:rsid w:val="006C1B18"/>
    <w:rsid w:val="006C1FA7"/>
    <w:rsid w:val="006C2202"/>
    <w:rsid w:val="006C2344"/>
    <w:rsid w:val="006C25EC"/>
    <w:rsid w:val="006C3A54"/>
    <w:rsid w:val="006C6063"/>
    <w:rsid w:val="006C6A24"/>
    <w:rsid w:val="006C6C64"/>
    <w:rsid w:val="006C6EAF"/>
    <w:rsid w:val="006C7258"/>
    <w:rsid w:val="006D0B63"/>
    <w:rsid w:val="006D0B8C"/>
    <w:rsid w:val="006D2B48"/>
    <w:rsid w:val="006D35A6"/>
    <w:rsid w:val="006D4698"/>
    <w:rsid w:val="006D5383"/>
    <w:rsid w:val="006D5F21"/>
    <w:rsid w:val="006D7A09"/>
    <w:rsid w:val="006E1425"/>
    <w:rsid w:val="006E4B25"/>
    <w:rsid w:val="006E6F0D"/>
    <w:rsid w:val="006F0416"/>
    <w:rsid w:val="006F1406"/>
    <w:rsid w:val="006F14D0"/>
    <w:rsid w:val="006F1934"/>
    <w:rsid w:val="006F3B74"/>
    <w:rsid w:val="006F5018"/>
    <w:rsid w:val="006F5D70"/>
    <w:rsid w:val="0070530C"/>
    <w:rsid w:val="007074D9"/>
    <w:rsid w:val="00710379"/>
    <w:rsid w:val="00710D41"/>
    <w:rsid w:val="00710F5B"/>
    <w:rsid w:val="00711115"/>
    <w:rsid w:val="007133EC"/>
    <w:rsid w:val="007138A4"/>
    <w:rsid w:val="0071494E"/>
    <w:rsid w:val="0071528C"/>
    <w:rsid w:val="00715F31"/>
    <w:rsid w:val="0072407A"/>
    <w:rsid w:val="00726B66"/>
    <w:rsid w:val="0073003C"/>
    <w:rsid w:val="007301C5"/>
    <w:rsid w:val="00730C18"/>
    <w:rsid w:val="00731557"/>
    <w:rsid w:val="007315B3"/>
    <w:rsid w:val="00731DC3"/>
    <w:rsid w:val="00732DC0"/>
    <w:rsid w:val="00732FB5"/>
    <w:rsid w:val="0073382C"/>
    <w:rsid w:val="007341E5"/>
    <w:rsid w:val="007346AC"/>
    <w:rsid w:val="00735525"/>
    <w:rsid w:val="007356EA"/>
    <w:rsid w:val="007377AC"/>
    <w:rsid w:val="00737A6A"/>
    <w:rsid w:val="00743C45"/>
    <w:rsid w:val="007449CA"/>
    <w:rsid w:val="00746DA5"/>
    <w:rsid w:val="00750A5D"/>
    <w:rsid w:val="00751055"/>
    <w:rsid w:val="00751EDF"/>
    <w:rsid w:val="00752E0C"/>
    <w:rsid w:val="007530E9"/>
    <w:rsid w:val="007549F0"/>
    <w:rsid w:val="0075503F"/>
    <w:rsid w:val="00757ACC"/>
    <w:rsid w:val="00760177"/>
    <w:rsid w:val="00762FA1"/>
    <w:rsid w:val="00763E25"/>
    <w:rsid w:val="00766CD8"/>
    <w:rsid w:val="00771907"/>
    <w:rsid w:val="0077300B"/>
    <w:rsid w:val="00774819"/>
    <w:rsid w:val="00775010"/>
    <w:rsid w:val="00775021"/>
    <w:rsid w:val="00777902"/>
    <w:rsid w:val="007807AD"/>
    <w:rsid w:val="00783F1B"/>
    <w:rsid w:val="00786C83"/>
    <w:rsid w:val="00786E79"/>
    <w:rsid w:val="007937E0"/>
    <w:rsid w:val="00793BF5"/>
    <w:rsid w:val="007946A3"/>
    <w:rsid w:val="00795561"/>
    <w:rsid w:val="00795732"/>
    <w:rsid w:val="00796D95"/>
    <w:rsid w:val="007A202C"/>
    <w:rsid w:val="007A2BBD"/>
    <w:rsid w:val="007A2F7A"/>
    <w:rsid w:val="007A4BDA"/>
    <w:rsid w:val="007A6474"/>
    <w:rsid w:val="007B05F9"/>
    <w:rsid w:val="007B09FA"/>
    <w:rsid w:val="007B3EEB"/>
    <w:rsid w:val="007B7C5E"/>
    <w:rsid w:val="007C30F1"/>
    <w:rsid w:val="007C3B83"/>
    <w:rsid w:val="007C55E1"/>
    <w:rsid w:val="007C64A5"/>
    <w:rsid w:val="007C6689"/>
    <w:rsid w:val="007C6C36"/>
    <w:rsid w:val="007C719B"/>
    <w:rsid w:val="007C75F0"/>
    <w:rsid w:val="007C79D7"/>
    <w:rsid w:val="007C7ED7"/>
    <w:rsid w:val="007D11DD"/>
    <w:rsid w:val="007D176D"/>
    <w:rsid w:val="007D2CE4"/>
    <w:rsid w:val="007D475D"/>
    <w:rsid w:val="007D5C90"/>
    <w:rsid w:val="007E1658"/>
    <w:rsid w:val="007E5057"/>
    <w:rsid w:val="007E5AF5"/>
    <w:rsid w:val="007E7664"/>
    <w:rsid w:val="007F05BF"/>
    <w:rsid w:val="007F0F70"/>
    <w:rsid w:val="007F28DC"/>
    <w:rsid w:val="007F7F0D"/>
    <w:rsid w:val="00801E77"/>
    <w:rsid w:val="00802C0D"/>
    <w:rsid w:val="0080594B"/>
    <w:rsid w:val="00805CE8"/>
    <w:rsid w:val="00812240"/>
    <w:rsid w:val="008172CB"/>
    <w:rsid w:val="00822D25"/>
    <w:rsid w:val="00824627"/>
    <w:rsid w:val="00826A18"/>
    <w:rsid w:val="00831C96"/>
    <w:rsid w:val="0083366A"/>
    <w:rsid w:val="00833673"/>
    <w:rsid w:val="00833C76"/>
    <w:rsid w:val="008363E2"/>
    <w:rsid w:val="00840095"/>
    <w:rsid w:val="00840B2C"/>
    <w:rsid w:val="008439D1"/>
    <w:rsid w:val="00844B82"/>
    <w:rsid w:val="008456E6"/>
    <w:rsid w:val="00845714"/>
    <w:rsid w:val="008505FF"/>
    <w:rsid w:val="00852645"/>
    <w:rsid w:val="00852E8F"/>
    <w:rsid w:val="0085377D"/>
    <w:rsid w:val="00856E57"/>
    <w:rsid w:val="00863BE1"/>
    <w:rsid w:val="008656E1"/>
    <w:rsid w:val="00865AB4"/>
    <w:rsid w:val="008667BB"/>
    <w:rsid w:val="008669C2"/>
    <w:rsid w:val="008679E1"/>
    <w:rsid w:val="00873983"/>
    <w:rsid w:val="00874446"/>
    <w:rsid w:val="0087491E"/>
    <w:rsid w:val="00877C5F"/>
    <w:rsid w:val="00881D94"/>
    <w:rsid w:val="00882E3B"/>
    <w:rsid w:val="00883847"/>
    <w:rsid w:val="00886D70"/>
    <w:rsid w:val="00887210"/>
    <w:rsid w:val="00891751"/>
    <w:rsid w:val="008921F5"/>
    <w:rsid w:val="00892541"/>
    <w:rsid w:val="0089628C"/>
    <w:rsid w:val="0089676D"/>
    <w:rsid w:val="0089774C"/>
    <w:rsid w:val="008A347A"/>
    <w:rsid w:val="008B179E"/>
    <w:rsid w:val="008B287F"/>
    <w:rsid w:val="008B48C2"/>
    <w:rsid w:val="008B590C"/>
    <w:rsid w:val="008B5DFE"/>
    <w:rsid w:val="008B6C32"/>
    <w:rsid w:val="008B7CE4"/>
    <w:rsid w:val="008C3E0A"/>
    <w:rsid w:val="008C51C2"/>
    <w:rsid w:val="008C621C"/>
    <w:rsid w:val="008C750F"/>
    <w:rsid w:val="008C7EBA"/>
    <w:rsid w:val="008D1B14"/>
    <w:rsid w:val="008D4525"/>
    <w:rsid w:val="008D7E26"/>
    <w:rsid w:val="008E067F"/>
    <w:rsid w:val="008E1490"/>
    <w:rsid w:val="008E19A6"/>
    <w:rsid w:val="008E1ACD"/>
    <w:rsid w:val="008E208F"/>
    <w:rsid w:val="008E22F2"/>
    <w:rsid w:val="008E4A2C"/>
    <w:rsid w:val="008E606C"/>
    <w:rsid w:val="008E7F35"/>
    <w:rsid w:val="008F08BB"/>
    <w:rsid w:val="008F191D"/>
    <w:rsid w:val="008F33BC"/>
    <w:rsid w:val="008F3DFB"/>
    <w:rsid w:val="009019E9"/>
    <w:rsid w:val="00902F32"/>
    <w:rsid w:val="009040F3"/>
    <w:rsid w:val="009048D6"/>
    <w:rsid w:val="00905553"/>
    <w:rsid w:val="00906882"/>
    <w:rsid w:val="00910495"/>
    <w:rsid w:val="0091268B"/>
    <w:rsid w:val="00913BF5"/>
    <w:rsid w:val="009143B7"/>
    <w:rsid w:val="00915C23"/>
    <w:rsid w:val="00916671"/>
    <w:rsid w:val="00920238"/>
    <w:rsid w:val="009204FF"/>
    <w:rsid w:val="00920DC1"/>
    <w:rsid w:val="00921236"/>
    <w:rsid w:val="009221D1"/>
    <w:rsid w:val="00922BB6"/>
    <w:rsid w:val="00922D78"/>
    <w:rsid w:val="009247AB"/>
    <w:rsid w:val="00924FE4"/>
    <w:rsid w:val="00926050"/>
    <w:rsid w:val="0092645E"/>
    <w:rsid w:val="009268BA"/>
    <w:rsid w:val="00933111"/>
    <w:rsid w:val="00933791"/>
    <w:rsid w:val="009337A2"/>
    <w:rsid w:val="00934C0D"/>
    <w:rsid w:val="00936F7C"/>
    <w:rsid w:val="009371F9"/>
    <w:rsid w:val="00942B4A"/>
    <w:rsid w:val="009449F6"/>
    <w:rsid w:val="00947B49"/>
    <w:rsid w:val="009516C5"/>
    <w:rsid w:val="0095217B"/>
    <w:rsid w:val="009526BA"/>
    <w:rsid w:val="00953F3F"/>
    <w:rsid w:val="0095432B"/>
    <w:rsid w:val="00954866"/>
    <w:rsid w:val="00956A92"/>
    <w:rsid w:val="00956F40"/>
    <w:rsid w:val="0095736F"/>
    <w:rsid w:val="009606E1"/>
    <w:rsid w:val="009610D7"/>
    <w:rsid w:val="00961BDF"/>
    <w:rsid w:val="009669E7"/>
    <w:rsid w:val="0096747C"/>
    <w:rsid w:val="009711B5"/>
    <w:rsid w:val="0097144F"/>
    <w:rsid w:val="00972D09"/>
    <w:rsid w:val="009730C2"/>
    <w:rsid w:val="009731BE"/>
    <w:rsid w:val="00974AA2"/>
    <w:rsid w:val="0097719D"/>
    <w:rsid w:val="0098123C"/>
    <w:rsid w:val="0098274F"/>
    <w:rsid w:val="009867EA"/>
    <w:rsid w:val="00991157"/>
    <w:rsid w:val="00995B1D"/>
    <w:rsid w:val="00996FA3"/>
    <w:rsid w:val="00997704"/>
    <w:rsid w:val="009978D0"/>
    <w:rsid w:val="009A01E2"/>
    <w:rsid w:val="009A556E"/>
    <w:rsid w:val="009A6800"/>
    <w:rsid w:val="009A7C59"/>
    <w:rsid w:val="009B0C6E"/>
    <w:rsid w:val="009B2206"/>
    <w:rsid w:val="009B2D6C"/>
    <w:rsid w:val="009B2E37"/>
    <w:rsid w:val="009B76AA"/>
    <w:rsid w:val="009B7BB5"/>
    <w:rsid w:val="009C0461"/>
    <w:rsid w:val="009C0BB2"/>
    <w:rsid w:val="009C3A88"/>
    <w:rsid w:val="009C3CE6"/>
    <w:rsid w:val="009C4C23"/>
    <w:rsid w:val="009D23F2"/>
    <w:rsid w:val="009D4C6D"/>
    <w:rsid w:val="009D7024"/>
    <w:rsid w:val="009D7E7A"/>
    <w:rsid w:val="009E04F1"/>
    <w:rsid w:val="009E46D7"/>
    <w:rsid w:val="009E776F"/>
    <w:rsid w:val="009E7874"/>
    <w:rsid w:val="009F3D6A"/>
    <w:rsid w:val="009F711D"/>
    <w:rsid w:val="00A00310"/>
    <w:rsid w:val="00A03155"/>
    <w:rsid w:val="00A03197"/>
    <w:rsid w:val="00A04842"/>
    <w:rsid w:val="00A04852"/>
    <w:rsid w:val="00A04E28"/>
    <w:rsid w:val="00A05A3D"/>
    <w:rsid w:val="00A073AE"/>
    <w:rsid w:val="00A11F8B"/>
    <w:rsid w:val="00A123BE"/>
    <w:rsid w:val="00A12B61"/>
    <w:rsid w:val="00A13978"/>
    <w:rsid w:val="00A14A83"/>
    <w:rsid w:val="00A16B40"/>
    <w:rsid w:val="00A211B9"/>
    <w:rsid w:val="00A23300"/>
    <w:rsid w:val="00A26165"/>
    <w:rsid w:val="00A2711D"/>
    <w:rsid w:val="00A27E38"/>
    <w:rsid w:val="00A32BA7"/>
    <w:rsid w:val="00A35A7B"/>
    <w:rsid w:val="00A35C1E"/>
    <w:rsid w:val="00A36658"/>
    <w:rsid w:val="00A4075D"/>
    <w:rsid w:val="00A425F6"/>
    <w:rsid w:val="00A4318C"/>
    <w:rsid w:val="00A47B08"/>
    <w:rsid w:val="00A47CBF"/>
    <w:rsid w:val="00A47E32"/>
    <w:rsid w:val="00A47F90"/>
    <w:rsid w:val="00A51ED6"/>
    <w:rsid w:val="00A52F98"/>
    <w:rsid w:val="00A53664"/>
    <w:rsid w:val="00A54625"/>
    <w:rsid w:val="00A5604D"/>
    <w:rsid w:val="00A56185"/>
    <w:rsid w:val="00A565EB"/>
    <w:rsid w:val="00A569DD"/>
    <w:rsid w:val="00A61350"/>
    <w:rsid w:val="00A617DB"/>
    <w:rsid w:val="00A633E4"/>
    <w:rsid w:val="00A655D3"/>
    <w:rsid w:val="00A65F00"/>
    <w:rsid w:val="00A71563"/>
    <w:rsid w:val="00A715A1"/>
    <w:rsid w:val="00A71DA9"/>
    <w:rsid w:val="00A73C18"/>
    <w:rsid w:val="00A7778E"/>
    <w:rsid w:val="00A77ABF"/>
    <w:rsid w:val="00A8131A"/>
    <w:rsid w:val="00A83EAF"/>
    <w:rsid w:val="00A84085"/>
    <w:rsid w:val="00A84FEB"/>
    <w:rsid w:val="00A85B8E"/>
    <w:rsid w:val="00A85DA6"/>
    <w:rsid w:val="00A86270"/>
    <w:rsid w:val="00A87583"/>
    <w:rsid w:val="00A90AF9"/>
    <w:rsid w:val="00A92A29"/>
    <w:rsid w:val="00A93290"/>
    <w:rsid w:val="00A9479B"/>
    <w:rsid w:val="00A94AD9"/>
    <w:rsid w:val="00A95018"/>
    <w:rsid w:val="00A96A59"/>
    <w:rsid w:val="00AA1B6D"/>
    <w:rsid w:val="00AA2683"/>
    <w:rsid w:val="00AA2D89"/>
    <w:rsid w:val="00AA2E42"/>
    <w:rsid w:val="00AA35A4"/>
    <w:rsid w:val="00AA3695"/>
    <w:rsid w:val="00AA3F90"/>
    <w:rsid w:val="00AA4ED2"/>
    <w:rsid w:val="00AA5800"/>
    <w:rsid w:val="00AA5C16"/>
    <w:rsid w:val="00AA5FD8"/>
    <w:rsid w:val="00AA7B8E"/>
    <w:rsid w:val="00AA7ED6"/>
    <w:rsid w:val="00AB355F"/>
    <w:rsid w:val="00AC2552"/>
    <w:rsid w:val="00AC332A"/>
    <w:rsid w:val="00AC7E86"/>
    <w:rsid w:val="00AD01EF"/>
    <w:rsid w:val="00AD16AA"/>
    <w:rsid w:val="00AD30A2"/>
    <w:rsid w:val="00AD5A76"/>
    <w:rsid w:val="00AE168B"/>
    <w:rsid w:val="00AE1B1F"/>
    <w:rsid w:val="00AE42B1"/>
    <w:rsid w:val="00AE5FB7"/>
    <w:rsid w:val="00AF3E6E"/>
    <w:rsid w:val="00AF693C"/>
    <w:rsid w:val="00B00F78"/>
    <w:rsid w:val="00B0139A"/>
    <w:rsid w:val="00B01520"/>
    <w:rsid w:val="00B02600"/>
    <w:rsid w:val="00B02EC1"/>
    <w:rsid w:val="00B0538B"/>
    <w:rsid w:val="00B074E9"/>
    <w:rsid w:val="00B075A8"/>
    <w:rsid w:val="00B11039"/>
    <w:rsid w:val="00B11080"/>
    <w:rsid w:val="00B118DF"/>
    <w:rsid w:val="00B11F4C"/>
    <w:rsid w:val="00B12E9B"/>
    <w:rsid w:val="00B13830"/>
    <w:rsid w:val="00B1436B"/>
    <w:rsid w:val="00B20384"/>
    <w:rsid w:val="00B20525"/>
    <w:rsid w:val="00B21061"/>
    <w:rsid w:val="00B213F3"/>
    <w:rsid w:val="00B23316"/>
    <w:rsid w:val="00B23B19"/>
    <w:rsid w:val="00B24074"/>
    <w:rsid w:val="00B27712"/>
    <w:rsid w:val="00B31D4D"/>
    <w:rsid w:val="00B32DFF"/>
    <w:rsid w:val="00B33D9A"/>
    <w:rsid w:val="00B37BFA"/>
    <w:rsid w:val="00B418D7"/>
    <w:rsid w:val="00B44658"/>
    <w:rsid w:val="00B44F10"/>
    <w:rsid w:val="00B4541B"/>
    <w:rsid w:val="00B4626A"/>
    <w:rsid w:val="00B4654F"/>
    <w:rsid w:val="00B46620"/>
    <w:rsid w:val="00B46667"/>
    <w:rsid w:val="00B467F0"/>
    <w:rsid w:val="00B46D1B"/>
    <w:rsid w:val="00B518CE"/>
    <w:rsid w:val="00B51907"/>
    <w:rsid w:val="00B52772"/>
    <w:rsid w:val="00B54809"/>
    <w:rsid w:val="00B5576D"/>
    <w:rsid w:val="00B55F5C"/>
    <w:rsid w:val="00B561D0"/>
    <w:rsid w:val="00B602C2"/>
    <w:rsid w:val="00B6034C"/>
    <w:rsid w:val="00B615E4"/>
    <w:rsid w:val="00B618E9"/>
    <w:rsid w:val="00B62447"/>
    <w:rsid w:val="00B63A00"/>
    <w:rsid w:val="00B63C01"/>
    <w:rsid w:val="00B64499"/>
    <w:rsid w:val="00B651B4"/>
    <w:rsid w:val="00B6681C"/>
    <w:rsid w:val="00B717F7"/>
    <w:rsid w:val="00B8537D"/>
    <w:rsid w:val="00B86DA8"/>
    <w:rsid w:val="00B86F5D"/>
    <w:rsid w:val="00B9093E"/>
    <w:rsid w:val="00B917B8"/>
    <w:rsid w:val="00B91998"/>
    <w:rsid w:val="00B92821"/>
    <w:rsid w:val="00B97ED5"/>
    <w:rsid w:val="00BA17B4"/>
    <w:rsid w:val="00BA252E"/>
    <w:rsid w:val="00BA2865"/>
    <w:rsid w:val="00BA300A"/>
    <w:rsid w:val="00BA4078"/>
    <w:rsid w:val="00BA595E"/>
    <w:rsid w:val="00BA5F0F"/>
    <w:rsid w:val="00BA751B"/>
    <w:rsid w:val="00BA7785"/>
    <w:rsid w:val="00BB02DB"/>
    <w:rsid w:val="00BB0601"/>
    <w:rsid w:val="00BB286A"/>
    <w:rsid w:val="00BB638D"/>
    <w:rsid w:val="00BB7404"/>
    <w:rsid w:val="00BB7E30"/>
    <w:rsid w:val="00BC2A7A"/>
    <w:rsid w:val="00BC32CD"/>
    <w:rsid w:val="00BC41B4"/>
    <w:rsid w:val="00BC6DAE"/>
    <w:rsid w:val="00BC7944"/>
    <w:rsid w:val="00BC7D6E"/>
    <w:rsid w:val="00BD126A"/>
    <w:rsid w:val="00BD2705"/>
    <w:rsid w:val="00BD2958"/>
    <w:rsid w:val="00BD57D4"/>
    <w:rsid w:val="00BD7515"/>
    <w:rsid w:val="00BD7B6D"/>
    <w:rsid w:val="00BE00A2"/>
    <w:rsid w:val="00BE0E0C"/>
    <w:rsid w:val="00BE3513"/>
    <w:rsid w:val="00BE6C45"/>
    <w:rsid w:val="00BF0F33"/>
    <w:rsid w:val="00BF2600"/>
    <w:rsid w:val="00BF2DBA"/>
    <w:rsid w:val="00BF39AC"/>
    <w:rsid w:val="00BF3B1C"/>
    <w:rsid w:val="00BF55AD"/>
    <w:rsid w:val="00BF57E3"/>
    <w:rsid w:val="00BF5EFB"/>
    <w:rsid w:val="00BF5F0F"/>
    <w:rsid w:val="00C02E48"/>
    <w:rsid w:val="00C045B1"/>
    <w:rsid w:val="00C1221F"/>
    <w:rsid w:val="00C122C9"/>
    <w:rsid w:val="00C12A02"/>
    <w:rsid w:val="00C12FDE"/>
    <w:rsid w:val="00C13945"/>
    <w:rsid w:val="00C216C4"/>
    <w:rsid w:val="00C225E5"/>
    <w:rsid w:val="00C22DE4"/>
    <w:rsid w:val="00C22F1E"/>
    <w:rsid w:val="00C235B7"/>
    <w:rsid w:val="00C2587C"/>
    <w:rsid w:val="00C25DA6"/>
    <w:rsid w:val="00C26CD1"/>
    <w:rsid w:val="00C306AD"/>
    <w:rsid w:val="00C316D7"/>
    <w:rsid w:val="00C3290E"/>
    <w:rsid w:val="00C33351"/>
    <w:rsid w:val="00C348B4"/>
    <w:rsid w:val="00C36618"/>
    <w:rsid w:val="00C36F01"/>
    <w:rsid w:val="00C36F38"/>
    <w:rsid w:val="00C3712F"/>
    <w:rsid w:val="00C40A42"/>
    <w:rsid w:val="00C429BD"/>
    <w:rsid w:val="00C44401"/>
    <w:rsid w:val="00C44789"/>
    <w:rsid w:val="00C46AC1"/>
    <w:rsid w:val="00C46E71"/>
    <w:rsid w:val="00C50703"/>
    <w:rsid w:val="00C5081F"/>
    <w:rsid w:val="00C51B56"/>
    <w:rsid w:val="00C52354"/>
    <w:rsid w:val="00C53396"/>
    <w:rsid w:val="00C5392C"/>
    <w:rsid w:val="00C55EEC"/>
    <w:rsid w:val="00C56AA1"/>
    <w:rsid w:val="00C57E8B"/>
    <w:rsid w:val="00C64B56"/>
    <w:rsid w:val="00C67A37"/>
    <w:rsid w:val="00C71235"/>
    <w:rsid w:val="00C7149A"/>
    <w:rsid w:val="00C7254A"/>
    <w:rsid w:val="00C72ECE"/>
    <w:rsid w:val="00C75CB0"/>
    <w:rsid w:val="00C76AB4"/>
    <w:rsid w:val="00C76AD7"/>
    <w:rsid w:val="00C76EB4"/>
    <w:rsid w:val="00C778A8"/>
    <w:rsid w:val="00C80710"/>
    <w:rsid w:val="00C87495"/>
    <w:rsid w:val="00C87B85"/>
    <w:rsid w:val="00C90510"/>
    <w:rsid w:val="00C939CD"/>
    <w:rsid w:val="00C93D9E"/>
    <w:rsid w:val="00C9753E"/>
    <w:rsid w:val="00CA1473"/>
    <w:rsid w:val="00CA63EA"/>
    <w:rsid w:val="00CB02E8"/>
    <w:rsid w:val="00CB0D8A"/>
    <w:rsid w:val="00CB15F6"/>
    <w:rsid w:val="00CB45C1"/>
    <w:rsid w:val="00CB4771"/>
    <w:rsid w:val="00CB59AD"/>
    <w:rsid w:val="00CB5A38"/>
    <w:rsid w:val="00CB6262"/>
    <w:rsid w:val="00CB7596"/>
    <w:rsid w:val="00CB77F0"/>
    <w:rsid w:val="00CC038A"/>
    <w:rsid w:val="00CC4913"/>
    <w:rsid w:val="00CC6EF4"/>
    <w:rsid w:val="00CC70F5"/>
    <w:rsid w:val="00CC72AE"/>
    <w:rsid w:val="00CD0F70"/>
    <w:rsid w:val="00CD2774"/>
    <w:rsid w:val="00CD44D7"/>
    <w:rsid w:val="00CD6FCB"/>
    <w:rsid w:val="00CD719F"/>
    <w:rsid w:val="00CD76AF"/>
    <w:rsid w:val="00CE022B"/>
    <w:rsid w:val="00CE2D30"/>
    <w:rsid w:val="00CE3D82"/>
    <w:rsid w:val="00CE5F28"/>
    <w:rsid w:val="00CE6706"/>
    <w:rsid w:val="00CF0CFE"/>
    <w:rsid w:val="00CF347D"/>
    <w:rsid w:val="00CF407C"/>
    <w:rsid w:val="00CF480F"/>
    <w:rsid w:val="00CF63A5"/>
    <w:rsid w:val="00CF66C7"/>
    <w:rsid w:val="00CF6BD1"/>
    <w:rsid w:val="00CF6EB5"/>
    <w:rsid w:val="00D01B49"/>
    <w:rsid w:val="00D02303"/>
    <w:rsid w:val="00D032CA"/>
    <w:rsid w:val="00D0433B"/>
    <w:rsid w:val="00D04BA5"/>
    <w:rsid w:val="00D05280"/>
    <w:rsid w:val="00D06B86"/>
    <w:rsid w:val="00D13C3B"/>
    <w:rsid w:val="00D15571"/>
    <w:rsid w:val="00D16A54"/>
    <w:rsid w:val="00D177BA"/>
    <w:rsid w:val="00D177DA"/>
    <w:rsid w:val="00D178D4"/>
    <w:rsid w:val="00D20688"/>
    <w:rsid w:val="00D223EC"/>
    <w:rsid w:val="00D22A88"/>
    <w:rsid w:val="00D259D2"/>
    <w:rsid w:val="00D313B1"/>
    <w:rsid w:val="00D31B6B"/>
    <w:rsid w:val="00D32684"/>
    <w:rsid w:val="00D37E1B"/>
    <w:rsid w:val="00D41238"/>
    <w:rsid w:val="00D41B2A"/>
    <w:rsid w:val="00D42FB1"/>
    <w:rsid w:val="00D4429C"/>
    <w:rsid w:val="00D443CE"/>
    <w:rsid w:val="00D45E0C"/>
    <w:rsid w:val="00D46597"/>
    <w:rsid w:val="00D47CCE"/>
    <w:rsid w:val="00D50096"/>
    <w:rsid w:val="00D51022"/>
    <w:rsid w:val="00D5191B"/>
    <w:rsid w:val="00D546E2"/>
    <w:rsid w:val="00D55E3E"/>
    <w:rsid w:val="00D57348"/>
    <w:rsid w:val="00D57649"/>
    <w:rsid w:val="00D57CB1"/>
    <w:rsid w:val="00D60AB3"/>
    <w:rsid w:val="00D66DF2"/>
    <w:rsid w:val="00D6788D"/>
    <w:rsid w:val="00D67FD8"/>
    <w:rsid w:val="00D70DD5"/>
    <w:rsid w:val="00D71A7F"/>
    <w:rsid w:val="00D72856"/>
    <w:rsid w:val="00D7662E"/>
    <w:rsid w:val="00D80D80"/>
    <w:rsid w:val="00D8292D"/>
    <w:rsid w:val="00D83A52"/>
    <w:rsid w:val="00D843E6"/>
    <w:rsid w:val="00D84C10"/>
    <w:rsid w:val="00D86F23"/>
    <w:rsid w:val="00D91CB8"/>
    <w:rsid w:val="00D941FE"/>
    <w:rsid w:val="00D9579C"/>
    <w:rsid w:val="00D9588E"/>
    <w:rsid w:val="00D967D0"/>
    <w:rsid w:val="00D968AE"/>
    <w:rsid w:val="00DA1A69"/>
    <w:rsid w:val="00DA1DBB"/>
    <w:rsid w:val="00DA37E5"/>
    <w:rsid w:val="00DA3E76"/>
    <w:rsid w:val="00DA62BF"/>
    <w:rsid w:val="00DB0A64"/>
    <w:rsid w:val="00DB2393"/>
    <w:rsid w:val="00DB4431"/>
    <w:rsid w:val="00DB6644"/>
    <w:rsid w:val="00DC00A5"/>
    <w:rsid w:val="00DC1314"/>
    <w:rsid w:val="00DC1FDE"/>
    <w:rsid w:val="00DC3082"/>
    <w:rsid w:val="00DC44A5"/>
    <w:rsid w:val="00DC4CBA"/>
    <w:rsid w:val="00DC6EEA"/>
    <w:rsid w:val="00DC7751"/>
    <w:rsid w:val="00DD1A42"/>
    <w:rsid w:val="00DD2DD4"/>
    <w:rsid w:val="00DD4F9B"/>
    <w:rsid w:val="00DD5028"/>
    <w:rsid w:val="00DD53A6"/>
    <w:rsid w:val="00DD6ACF"/>
    <w:rsid w:val="00DD7904"/>
    <w:rsid w:val="00DE369F"/>
    <w:rsid w:val="00DE79BF"/>
    <w:rsid w:val="00DF2D5E"/>
    <w:rsid w:val="00DF5B09"/>
    <w:rsid w:val="00DF6DD3"/>
    <w:rsid w:val="00E016BB"/>
    <w:rsid w:val="00E02A14"/>
    <w:rsid w:val="00E0642D"/>
    <w:rsid w:val="00E06B09"/>
    <w:rsid w:val="00E1250C"/>
    <w:rsid w:val="00E13317"/>
    <w:rsid w:val="00E1364F"/>
    <w:rsid w:val="00E22472"/>
    <w:rsid w:val="00E2583E"/>
    <w:rsid w:val="00E267E2"/>
    <w:rsid w:val="00E26E51"/>
    <w:rsid w:val="00E300E3"/>
    <w:rsid w:val="00E30DDE"/>
    <w:rsid w:val="00E331D6"/>
    <w:rsid w:val="00E349C4"/>
    <w:rsid w:val="00E34ADC"/>
    <w:rsid w:val="00E35988"/>
    <w:rsid w:val="00E41C05"/>
    <w:rsid w:val="00E42FD1"/>
    <w:rsid w:val="00E4673E"/>
    <w:rsid w:val="00E527B5"/>
    <w:rsid w:val="00E56031"/>
    <w:rsid w:val="00E607CF"/>
    <w:rsid w:val="00E63530"/>
    <w:rsid w:val="00E65B7A"/>
    <w:rsid w:val="00E6703D"/>
    <w:rsid w:val="00E67448"/>
    <w:rsid w:val="00E75A36"/>
    <w:rsid w:val="00E75AEC"/>
    <w:rsid w:val="00E83038"/>
    <w:rsid w:val="00E835DF"/>
    <w:rsid w:val="00E93A02"/>
    <w:rsid w:val="00E93FB1"/>
    <w:rsid w:val="00E94455"/>
    <w:rsid w:val="00E96337"/>
    <w:rsid w:val="00E970B7"/>
    <w:rsid w:val="00EA2D3B"/>
    <w:rsid w:val="00EA404A"/>
    <w:rsid w:val="00EA4135"/>
    <w:rsid w:val="00EA480D"/>
    <w:rsid w:val="00EA5F96"/>
    <w:rsid w:val="00EA7B20"/>
    <w:rsid w:val="00EB07DF"/>
    <w:rsid w:val="00EB195A"/>
    <w:rsid w:val="00EB25FA"/>
    <w:rsid w:val="00EB2E27"/>
    <w:rsid w:val="00EB348E"/>
    <w:rsid w:val="00EB40F3"/>
    <w:rsid w:val="00EB5AC6"/>
    <w:rsid w:val="00EB62A9"/>
    <w:rsid w:val="00EB6F14"/>
    <w:rsid w:val="00EB709D"/>
    <w:rsid w:val="00EC06C9"/>
    <w:rsid w:val="00EC24B8"/>
    <w:rsid w:val="00EC4045"/>
    <w:rsid w:val="00EC6849"/>
    <w:rsid w:val="00EC6D88"/>
    <w:rsid w:val="00ED08ED"/>
    <w:rsid w:val="00ED132E"/>
    <w:rsid w:val="00ED2568"/>
    <w:rsid w:val="00ED59F4"/>
    <w:rsid w:val="00EE09BE"/>
    <w:rsid w:val="00EE2E02"/>
    <w:rsid w:val="00EE3954"/>
    <w:rsid w:val="00EE61C3"/>
    <w:rsid w:val="00EE7440"/>
    <w:rsid w:val="00EF2074"/>
    <w:rsid w:val="00EF3C1D"/>
    <w:rsid w:val="00EF52CE"/>
    <w:rsid w:val="00EF60E1"/>
    <w:rsid w:val="00F007B9"/>
    <w:rsid w:val="00F016BB"/>
    <w:rsid w:val="00F02893"/>
    <w:rsid w:val="00F02D20"/>
    <w:rsid w:val="00F03249"/>
    <w:rsid w:val="00F032AF"/>
    <w:rsid w:val="00F10CCC"/>
    <w:rsid w:val="00F12A07"/>
    <w:rsid w:val="00F138BF"/>
    <w:rsid w:val="00F142D5"/>
    <w:rsid w:val="00F14B93"/>
    <w:rsid w:val="00F15082"/>
    <w:rsid w:val="00F20C71"/>
    <w:rsid w:val="00F20DD2"/>
    <w:rsid w:val="00F25F09"/>
    <w:rsid w:val="00F30CB8"/>
    <w:rsid w:val="00F31798"/>
    <w:rsid w:val="00F32E04"/>
    <w:rsid w:val="00F34949"/>
    <w:rsid w:val="00F3598C"/>
    <w:rsid w:val="00F35BD5"/>
    <w:rsid w:val="00F361DF"/>
    <w:rsid w:val="00F3775D"/>
    <w:rsid w:val="00F4084D"/>
    <w:rsid w:val="00F41CC8"/>
    <w:rsid w:val="00F422FD"/>
    <w:rsid w:val="00F425C1"/>
    <w:rsid w:val="00F42B38"/>
    <w:rsid w:val="00F43D84"/>
    <w:rsid w:val="00F454C5"/>
    <w:rsid w:val="00F4713D"/>
    <w:rsid w:val="00F51FD5"/>
    <w:rsid w:val="00F52734"/>
    <w:rsid w:val="00F52B5A"/>
    <w:rsid w:val="00F562F7"/>
    <w:rsid w:val="00F56CBA"/>
    <w:rsid w:val="00F57153"/>
    <w:rsid w:val="00F61871"/>
    <w:rsid w:val="00F61D3B"/>
    <w:rsid w:val="00F634AC"/>
    <w:rsid w:val="00F6386B"/>
    <w:rsid w:val="00F63F4E"/>
    <w:rsid w:val="00F642D6"/>
    <w:rsid w:val="00F6594F"/>
    <w:rsid w:val="00F65979"/>
    <w:rsid w:val="00F65F78"/>
    <w:rsid w:val="00F66A5A"/>
    <w:rsid w:val="00F67F90"/>
    <w:rsid w:val="00F703FC"/>
    <w:rsid w:val="00F7217E"/>
    <w:rsid w:val="00F72F33"/>
    <w:rsid w:val="00F74DEA"/>
    <w:rsid w:val="00F75251"/>
    <w:rsid w:val="00F75304"/>
    <w:rsid w:val="00F7538A"/>
    <w:rsid w:val="00F76AE4"/>
    <w:rsid w:val="00F77CA2"/>
    <w:rsid w:val="00F82106"/>
    <w:rsid w:val="00F83144"/>
    <w:rsid w:val="00F83FFA"/>
    <w:rsid w:val="00F914C6"/>
    <w:rsid w:val="00F92598"/>
    <w:rsid w:val="00F96604"/>
    <w:rsid w:val="00F97BA0"/>
    <w:rsid w:val="00FA040C"/>
    <w:rsid w:val="00FA2AAE"/>
    <w:rsid w:val="00FA5E75"/>
    <w:rsid w:val="00FB1601"/>
    <w:rsid w:val="00FB176D"/>
    <w:rsid w:val="00FB183D"/>
    <w:rsid w:val="00FB20E3"/>
    <w:rsid w:val="00FB25EB"/>
    <w:rsid w:val="00FB3D0A"/>
    <w:rsid w:val="00FB56B2"/>
    <w:rsid w:val="00FB631D"/>
    <w:rsid w:val="00FB7C55"/>
    <w:rsid w:val="00FC1425"/>
    <w:rsid w:val="00FC2EFE"/>
    <w:rsid w:val="00FC3FF8"/>
    <w:rsid w:val="00FD090D"/>
    <w:rsid w:val="00FD39C4"/>
    <w:rsid w:val="00FD4153"/>
    <w:rsid w:val="00FD42D3"/>
    <w:rsid w:val="00FD5FF3"/>
    <w:rsid w:val="00FE1966"/>
    <w:rsid w:val="00FE380F"/>
    <w:rsid w:val="00FE47F8"/>
    <w:rsid w:val="00FE4946"/>
    <w:rsid w:val="00FE4DDD"/>
    <w:rsid w:val="00FE4F72"/>
    <w:rsid w:val="00FE5AAF"/>
    <w:rsid w:val="00FE5AF8"/>
    <w:rsid w:val="00FE613F"/>
    <w:rsid w:val="00FE7779"/>
    <w:rsid w:val="00FF2604"/>
    <w:rsid w:val="00FF38A3"/>
    <w:rsid w:val="00FF5E8C"/>
    <w:rsid w:val="00FF6D2F"/>
    <w:rsid w:val="00FF7828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5AA87"/>
  <w15:docId w15:val="{74FE187A-E460-4B43-8037-9CFFF2DB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4A6"/>
    <w:pPr>
      <w:spacing w:after="200" w:line="276" w:lineRule="auto"/>
    </w:pPr>
    <w:rPr>
      <w:rFonts w:cs="Calibri"/>
      <w:lang w:eastAsia="en-US"/>
    </w:rPr>
  </w:style>
  <w:style w:type="paragraph" w:styleId="Titlu1">
    <w:name w:val="heading 1"/>
    <w:basedOn w:val="Normal"/>
    <w:next w:val="Normal"/>
    <w:link w:val="Titlu1Caracter"/>
    <w:qFormat/>
    <w:locked/>
    <w:rsid w:val="00E963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semiHidden/>
    <w:unhideWhenUsed/>
    <w:qFormat/>
    <w:locked/>
    <w:rsid w:val="003C77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qFormat/>
    <w:locked/>
    <w:rsid w:val="00D9579C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8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rsid w:val="00166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1664A6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227B68"/>
    <w:pPr>
      <w:spacing w:after="0" w:line="240" w:lineRule="auto"/>
    </w:pPr>
    <w:rPr>
      <w:rFonts w:ascii="Tahoma" w:hAnsi="Tahoma" w:cs="Times New Roman"/>
      <w:sz w:val="16"/>
      <w:szCs w:val="16"/>
      <w:lang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227B68"/>
    <w:rPr>
      <w:rFonts w:ascii="Tahoma" w:hAnsi="Tahoma" w:cs="Times New Roman"/>
      <w:sz w:val="16"/>
    </w:rPr>
  </w:style>
  <w:style w:type="paragraph" w:styleId="Corptext">
    <w:name w:val="Body Text"/>
    <w:basedOn w:val="Normal"/>
    <w:link w:val="CorptextCaracter"/>
    <w:uiPriority w:val="99"/>
    <w:rsid w:val="0040786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B615E4"/>
    <w:rPr>
      <w:rFonts w:cs="Calibri"/>
      <w:lang w:eastAsia="en-US"/>
    </w:rPr>
  </w:style>
  <w:style w:type="character" w:styleId="Hyperlink">
    <w:name w:val="Hyperlink"/>
    <w:basedOn w:val="Fontdeparagrafimplicit"/>
    <w:uiPriority w:val="99"/>
    <w:rsid w:val="00407862"/>
    <w:rPr>
      <w:rFonts w:cs="Times New Roman"/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F35BD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6C2344"/>
    <w:rPr>
      <w:rFonts w:cs="Calibri"/>
      <w:lang w:eastAsia="en-US"/>
    </w:rPr>
  </w:style>
  <w:style w:type="paragraph" w:styleId="PreformatatHTML">
    <w:name w:val="HTML Preformatted"/>
    <w:basedOn w:val="Normal"/>
    <w:link w:val="PreformatatHTMLCaracter"/>
    <w:rsid w:val="005A2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locked/>
    <w:rsid w:val="002B4BB1"/>
    <w:rPr>
      <w:rFonts w:ascii="Courier New" w:hAnsi="Courier New" w:cs="Courier New"/>
      <w:sz w:val="20"/>
      <w:szCs w:val="20"/>
      <w:lang w:eastAsia="en-US"/>
    </w:rPr>
  </w:style>
  <w:style w:type="paragraph" w:customStyle="1" w:styleId="Text3">
    <w:name w:val="Text 3"/>
    <w:basedOn w:val="Normal"/>
    <w:uiPriority w:val="99"/>
    <w:rsid w:val="005A2B7A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gril">
    <w:name w:val="Table Grid"/>
    <w:basedOn w:val="TabelNormal"/>
    <w:uiPriority w:val="99"/>
    <w:locked/>
    <w:rsid w:val="00C44401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Akapit z listą BS,List Paragraph1,Outlines a.b.c.,List_Paragraph,Multilevel para_II,Akapit z lista BS,body 2,Listă paragraf1,Normal bullet 2,List Paragraph11,List Paragraph111,Antes de enumeración,Listă colorată - Accentuare 11,Bullet,lp1"/>
    <w:basedOn w:val="Normal"/>
    <w:link w:val="ListparagrafCaracter"/>
    <w:uiPriority w:val="34"/>
    <w:qFormat/>
    <w:rsid w:val="00B20525"/>
    <w:pPr>
      <w:ind w:left="720"/>
      <w:contextualSpacing/>
    </w:pPr>
  </w:style>
  <w:style w:type="character" w:customStyle="1" w:styleId="l5tlu1">
    <w:name w:val="l5tlu1"/>
    <w:basedOn w:val="Fontdeparagrafimplicit"/>
    <w:rsid w:val="00B37BFA"/>
    <w:rPr>
      <w:b/>
      <w:bCs/>
      <w:color w:val="000000"/>
      <w:sz w:val="32"/>
      <w:szCs w:val="32"/>
    </w:rPr>
  </w:style>
  <w:style w:type="character" w:customStyle="1" w:styleId="articol">
    <w:name w:val="articol"/>
    <w:rsid w:val="004F475D"/>
  </w:style>
  <w:style w:type="character" w:customStyle="1" w:styleId="l5def1">
    <w:name w:val="l5def1"/>
    <w:basedOn w:val="Fontdeparagrafimplici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DC00A5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basedOn w:val="Fontdeparagrafimplicit"/>
    <w:rsid w:val="00DC00A5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">
    <w:name w:val="l5def7"/>
    <w:basedOn w:val="Fontdeparagrafimplicit"/>
    <w:rsid w:val="00DC00A5"/>
    <w:rPr>
      <w:rFonts w:ascii="Arial" w:hAnsi="Arial" w:cs="Arial" w:hint="default"/>
      <w:color w:val="000000"/>
      <w:sz w:val="26"/>
      <w:szCs w:val="26"/>
    </w:rPr>
  </w:style>
  <w:style w:type="paragraph" w:styleId="Frspaiere">
    <w:name w:val="No Spacing"/>
    <w:uiPriority w:val="99"/>
    <w:qFormat/>
    <w:rsid w:val="00C122C9"/>
    <w:rPr>
      <w:rFonts w:eastAsia="Times New Roman"/>
    </w:rPr>
  </w:style>
  <w:style w:type="character" w:customStyle="1" w:styleId="Titlu4Caracter">
    <w:name w:val="Titlu 4 Caracter"/>
    <w:basedOn w:val="Fontdeparagrafimplicit"/>
    <w:link w:val="Titlu4"/>
    <w:rsid w:val="00D9579C"/>
    <w:rPr>
      <w:rFonts w:ascii="Times New Roman" w:eastAsia="Arial Unicode MS" w:hAnsi="Times New Roman"/>
      <w:b/>
      <w:sz w:val="28"/>
      <w:szCs w:val="24"/>
    </w:rPr>
  </w:style>
  <w:style w:type="character" w:customStyle="1" w:styleId="ListparagrafCaracter">
    <w:name w:val="Listă paragraf Caracter"/>
    <w:aliases w:val="Akapit z listą BS Caracter,List Paragraph1 Caracter,Outlines a.b.c. Caracter,List_Paragraph Caracter,Multilevel para_II Caracter,Akapit z lista BS Caracter,body 2 Caracter,Listă paragraf1 Caracter,Normal bullet 2 Caracter"/>
    <w:link w:val="Listparagraf"/>
    <w:uiPriority w:val="34"/>
    <w:qFormat/>
    <w:locked/>
    <w:rsid w:val="00B52772"/>
    <w:rPr>
      <w:rFonts w:cs="Calibri"/>
      <w:lang w:eastAsia="en-US"/>
    </w:rPr>
  </w:style>
  <w:style w:type="character" w:customStyle="1" w:styleId="l5def8">
    <w:name w:val="l5def8"/>
    <w:basedOn w:val="Fontdeparagrafimplicit"/>
    <w:rsid w:val="007C75F0"/>
    <w:rPr>
      <w:rFonts w:ascii="Arial" w:hAnsi="Arial" w:cs="Arial" w:hint="default"/>
      <w:color w:val="000000"/>
      <w:sz w:val="26"/>
      <w:szCs w:val="26"/>
    </w:rPr>
  </w:style>
  <w:style w:type="paragraph" w:customStyle="1" w:styleId="Default">
    <w:name w:val="Default"/>
    <w:rsid w:val="001657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Titlu2Caracter">
    <w:name w:val="Titlu 2 Caracter"/>
    <w:basedOn w:val="Fontdeparagrafimplicit"/>
    <w:link w:val="Titlu2"/>
    <w:semiHidden/>
    <w:rsid w:val="003C77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slit">
    <w:name w:val="s_lit"/>
    <w:rsid w:val="005145E9"/>
  </w:style>
  <w:style w:type="character" w:customStyle="1" w:styleId="slitttl">
    <w:name w:val="s_lit_ttl"/>
    <w:rsid w:val="005145E9"/>
  </w:style>
  <w:style w:type="character" w:customStyle="1" w:styleId="slitbdy">
    <w:name w:val="s_lit_bdy"/>
    <w:rsid w:val="005145E9"/>
  </w:style>
  <w:style w:type="paragraph" w:customStyle="1" w:styleId="ListParagraph3">
    <w:name w:val="List Paragraph3"/>
    <w:basedOn w:val="Normal"/>
    <w:rsid w:val="008C62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itlu1Caracter">
    <w:name w:val="Titlu 1 Caracter"/>
    <w:basedOn w:val="Fontdeparagrafimplicit"/>
    <w:link w:val="Titlu1"/>
    <w:rsid w:val="00E963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Frspaiere1">
    <w:name w:val="Fără spațiere1"/>
    <w:uiPriority w:val="99"/>
    <w:rsid w:val="000B0D44"/>
  </w:style>
  <w:style w:type="paragraph" w:customStyle="1" w:styleId="rvps1">
    <w:name w:val="rvps1"/>
    <w:basedOn w:val="Normal"/>
    <w:rsid w:val="0090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par">
    <w:name w:val="s_par"/>
    <w:basedOn w:val="Fontdeparagrafimplicit"/>
    <w:rsid w:val="00F63F4E"/>
  </w:style>
  <w:style w:type="character" w:customStyle="1" w:styleId="rvts4">
    <w:name w:val="rvts4"/>
    <w:rsid w:val="0092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6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6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8683-9850-4071-AD9B-7C35AEE4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3355</Words>
  <Characters>19127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NOTĂ DE FUNDAMENTARE</vt:lpstr>
      <vt:lpstr>NOTĂ DE FUNDAMENTARE</vt:lpstr>
    </vt:vector>
  </TitlesOfParts>
  <Company>APPS</Company>
  <LinksUpToDate>false</LinksUpToDate>
  <CharactersWithSpaces>22438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FUNDAMENTARE</dc:title>
  <dc:subject/>
  <dc:creator>Ionita Mihaela</dc:creator>
  <cp:keywords/>
  <dc:description/>
  <cp:lastModifiedBy>Ministerul Transporturilor</cp:lastModifiedBy>
  <cp:revision>61</cp:revision>
  <cp:lastPrinted>2024-11-19T12:02:00Z</cp:lastPrinted>
  <dcterms:created xsi:type="dcterms:W3CDTF">2024-11-13T14:39:00Z</dcterms:created>
  <dcterms:modified xsi:type="dcterms:W3CDTF">2024-11-19T12:16:00Z</dcterms:modified>
</cp:coreProperties>
</file>