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4C8B6" w14:textId="77777777" w:rsidR="00CB5E8A" w:rsidRDefault="00CB5E8A" w:rsidP="003D1F95">
      <w:pPr>
        <w:jc w:val="both"/>
      </w:pPr>
    </w:p>
    <w:p w14:paraId="3944B96C" w14:textId="77777777" w:rsidR="00281B16" w:rsidRPr="006A0F46" w:rsidRDefault="00281B16" w:rsidP="003D1F95">
      <w:pPr>
        <w:jc w:val="both"/>
      </w:pPr>
    </w:p>
    <w:p w14:paraId="1C8A2CC4" w14:textId="77777777" w:rsidR="00CB5E8A" w:rsidRPr="006A0F46" w:rsidRDefault="00CB5E8A" w:rsidP="003D1F95">
      <w:pPr>
        <w:jc w:val="center"/>
        <w:rPr>
          <w:b/>
        </w:rPr>
      </w:pPr>
      <w:r w:rsidRPr="006A0F46">
        <w:rPr>
          <w:b/>
        </w:rPr>
        <w:t>GUVERNUL ROMÂNIEI</w:t>
      </w:r>
    </w:p>
    <w:p w14:paraId="7BE42E72" w14:textId="77777777" w:rsidR="00CC4AAC" w:rsidRPr="006A0F46" w:rsidRDefault="00CC4AAC" w:rsidP="003D1F95">
      <w:pPr>
        <w:jc w:val="both"/>
      </w:pPr>
    </w:p>
    <w:p w14:paraId="7BD6C40C" w14:textId="4355983E" w:rsidR="006C67E8" w:rsidRPr="006A0F46" w:rsidRDefault="008A6220" w:rsidP="00401967">
      <w:pPr>
        <w:pStyle w:val="Heading1"/>
        <w:rPr>
          <w:rFonts w:ascii="Times New Roman" w:hAnsi="Times New Roman"/>
          <w:sz w:val="24"/>
          <w:szCs w:val="24"/>
        </w:rPr>
      </w:pPr>
      <w:r w:rsidRPr="00E80685">
        <w:rPr>
          <w:rFonts w:ascii="Times New Roman" w:eastAsia="Calibri" w:hAnsi="Times New Roman"/>
          <w:sz w:val="24"/>
          <w:szCs w:val="24"/>
          <w:lang w:eastAsia="en-US"/>
        </w:rPr>
        <w:drawing>
          <wp:inline distT="0" distB="0" distL="0" distR="0" wp14:anchorId="5A9342DE" wp14:editId="7442D796">
            <wp:extent cx="933450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BEB47" w14:textId="77777777" w:rsidR="00CB5E8A" w:rsidRPr="006A0F46" w:rsidRDefault="00CB5E8A" w:rsidP="003D1F95">
      <w:pPr>
        <w:jc w:val="both"/>
      </w:pPr>
    </w:p>
    <w:p w14:paraId="24EE0ACA" w14:textId="77777777" w:rsidR="006C67E8" w:rsidRPr="006A0F46" w:rsidRDefault="006C67E8" w:rsidP="005B5FE1">
      <w:pPr>
        <w:pStyle w:val="Heading1"/>
        <w:rPr>
          <w:rFonts w:ascii="Times New Roman" w:hAnsi="Times New Roman"/>
          <w:sz w:val="24"/>
          <w:szCs w:val="24"/>
        </w:rPr>
      </w:pPr>
      <w:bookmarkStart w:id="0" w:name="_Hlk146902775"/>
      <w:r w:rsidRPr="006A0F46">
        <w:rPr>
          <w:rFonts w:ascii="Times New Roman" w:hAnsi="Times New Roman"/>
          <w:sz w:val="24"/>
          <w:szCs w:val="24"/>
        </w:rPr>
        <w:t>HOTĂRÂRE</w:t>
      </w:r>
    </w:p>
    <w:p w14:paraId="5B20B4EF" w14:textId="77777777" w:rsidR="008666B7" w:rsidRPr="006A0F46" w:rsidRDefault="008666B7" w:rsidP="005B5FE1">
      <w:pPr>
        <w:jc w:val="center"/>
      </w:pPr>
    </w:p>
    <w:p w14:paraId="10CA0E97" w14:textId="77777777" w:rsidR="002E4A39" w:rsidRPr="006A0F46" w:rsidRDefault="00FC2EB9" w:rsidP="00DF5CA7">
      <w:pPr>
        <w:jc w:val="center"/>
        <w:rPr>
          <w:b/>
          <w:bCs/>
        </w:rPr>
      </w:pPr>
      <w:r w:rsidRPr="00FC2EB9">
        <w:rPr>
          <w:b/>
          <w:bCs/>
        </w:rPr>
        <w:t xml:space="preserve">privind alocarea unor sume din Fondul de rezervă bugetară la </w:t>
      </w:r>
      <w:r w:rsidR="00E50A45" w:rsidRPr="00FC2EB9">
        <w:rPr>
          <w:b/>
          <w:bCs/>
        </w:rPr>
        <w:t>dispoziția</w:t>
      </w:r>
      <w:r w:rsidRPr="00FC2EB9">
        <w:rPr>
          <w:b/>
          <w:bCs/>
        </w:rPr>
        <w:t xml:space="preserve"> Guvernului, prevăzut în bugetul de stat pe anul 202</w:t>
      </w:r>
      <w:r w:rsidR="0096523E">
        <w:rPr>
          <w:b/>
          <w:bCs/>
        </w:rPr>
        <w:t>4</w:t>
      </w:r>
      <w:r w:rsidRPr="00FC2EB9">
        <w:rPr>
          <w:b/>
          <w:bCs/>
        </w:rPr>
        <w:t xml:space="preserve">, pentru suplimentarea bugetului Ministerului Transporturilor </w:t>
      </w:r>
      <w:r w:rsidR="00E50A45" w:rsidRPr="00FC2EB9">
        <w:rPr>
          <w:b/>
          <w:bCs/>
        </w:rPr>
        <w:t>și</w:t>
      </w:r>
      <w:r w:rsidRPr="00FC2EB9">
        <w:rPr>
          <w:b/>
          <w:bCs/>
        </w:rPr>
        <w:t xml:space="preserve"> Infrastructurii</w:t>
      </w:r>
    </w:p>
    <w:bookmarkEnd w:id="0"/>
    <w:p w14:paraId="329E818F" w14:textId="77777777" w:rsidR="005B5FE1" w:rsidRPr="006A0F46" w:rsidRDefault="005B5FE1" w:rsidP="00DF5CA7">
      <w:pPr>
        <w:jc w:val="center"/>
        <w:rPr>
          <w:b/>
          <w:bCs/>
        </w:rPr>
      </w:pPr>
    </w:p>
    <w:p w14:paraId="05DD2877" w14:textId="77777777" w:rsidR="00D06FDB" w:rsidRDefault="00D06FDB" w:rsidP="00FC2EB9">
      <w:pPr>
        <w:jc w:val="both"/>
        <w:rPr>
          <w:rStyle w:val="tpa1"/>
        </w:rPr>
      </w:pPr>
      <w:bookmarkStart w:id="1" w:name="do|pa1"/>
      <w:bookmarkEnd w:id="1"/>
    </w:p>
    <w:p w14:paraId="106604B9" w14:textId="77777777" w:rsidR="00DB62FC" w:rsidRDefault="00FC2EB9" w:rsidP="00FC2EB9">
      <w:pPr>
        <w:jc w:val="both"/>
        <w:rPr>
          <w:rStyle w:val="tpa1"/>
        </w:rPr>
      </w:pPr>
      <w:r w:rsidRPr="00FC2EB9">
        <w:rPr>
          <w:rStyle w:val="tpa1"/>
        </w:rPr>
        <w:t xml:space="preserve">în temeiul art. 108 din </w:t>
      </w:r>
      <w:r w:rsidR="00E50A45" w:rsidRPr="00FC2EB9">
        <w:rPr>
          <w:rStyle w:val="tpa1"/>
        </w:rPr>
        <w:t>Constituția</w:t>
      </w:r>
      <w:r w:rsidRPr="00FC2EB9">
        <w:rPr>
          <w:rStyle w:val="tpa1"/>
        </w:rPr>
        <w:t xml:space="preserve"> României, republicată, </w:t>
      </w:r>
      <w:r w:rsidR="00E50A45" w:rsidRPr="00FC2EB9">
        <w:rPr>
          <w:rStyle w:val="tpa1"/>
        </w:rPr>
        <w:t>și</w:t>
      </w:r>
      <w:r w:rsidRPr="00FC2EB9">
        <w:rPr>
          <w:rStyle w:val="tpa1"/>
        </w:rPr>
        <w:t xml:space="preserve"> al art. 30 alin. (2) din Legea nr. 500/2002 privind </w:t>
      </w:r>
      <w:r w:rsidR="00E50A45" w:rsidRPr="00FC2EB9">
        <w:rPr>
          <w:rStyle w:val="tpa1"/>
        </w:rPr>
        <w:t>finanțele</w:t>
      </w:r>
      <w:r w:rsidRPr="00FC2EB9">
        <w:rPr>
          <w:rStyle w:val="tpa1"/>
        </w:rPr>
        <w:t xml:space="preserve"> publice, cu modificările </w:t>
      </w:r>
      <w:r w:rsidR="00E50A45" w:rsidRPr="00FC2EB9">
        <w:rPr>
          <w:rStyle w:val="tpa1"/>
        </w:rPr>
        <w:t>și</w:t>
      </w:r>
      <w:r w:rsidRPr="00FC2EB9">
        <w:rPr>
          <w:rStyle w:val="tpa1"/>
        </w:rPr>
        <w:t xml:space="preserve"> completările ulterioare,</w:t>
      </w:r>
    </w:p>
    <w:p w14:paraId="34CFD61E" w14:textId="77777777" w:rsidR="00F24C3D" w:rsidRPr="006A0F46" w:rsidRDefault="00F24C3D" w:rsidP="00FC2EB9">
      <w:pPr>
        <w:jc w:val="both"/>
        <w:rPr>
          <w:b/>
          <w:color w:val="3C3C3C"/>
          <w:shd w:val="clear" w:color="auto" w:fill="FFFFFF"/>
        </w:rPr>
      </w:pPr>
    </w:p>
    <w:p w14:paraId="24561D7C" w14:textId="77777777" w:rsidR="00CC4AAC" w:rsidRPr="006A0F46" w:rsidRDefault="006C67E8" w:rsidP="00996FE8">
      <w:pPr>
        <w:jc w:val="both"/>
        <w:rPr>
          <w:b/>
          <w:bCs/>
        </w:rPr>
      </w:pPr>
      <w:r w:rsidRPr="006A0F46">
        <w:rPr>
          <w:b/>
        </w:rPr>
        <w:t>G</w:t>
      </w:r>
      <w:r w:rsidR="00CB5E8A" w:rsidRPr="006A0F46">
        <w:rPr>
          <w:b/>
        </w:rPr>
        <w:t>uvernul</w:t>
      </w:r>
      <w:r w:rsidRPr="006A0F46">
        <w:rPr>
          <w:b/>
        </w:rPr>
        <w:t xml:space="preserve"> R</w:t>
      </w:r>
      <w:r w:rsidR="00CB5E8A" w:rsidRPr="006A0F46">
        <w:rPr>
          <w:b/>
        </w:rPr>
        <w:t xml:space="preserve">omâniei </w:t>
      </w:r>
      <w:r w:rsidRPr="006A0F46">
        <w:rPr>
          <w:b/>
        </w:rPr>
        <w:t xml:space="preserve">adoptă prezenta hotărâre: </w:t>
      </w:r>
    </w:p>
    <w:p w14:paraId="16B5D6B2" w14:textId="77777777" w:rsidR="00171573" w:rsidRPr="006A0F46" w:rsidRDefault="00171573" w:rsidP="00171573">
      <w:pPr>
        <w:outlineLvl w:val="3"/>
        <w:rPr>
          <w:bCs/>
          <w:lang w:eastAsia="en-US"/>
        </w:rPr>
      </w:pPr>
    </w:p>
    <w:p w14:paraId="58FA2A6D" w14:textId="5176D475" w:rsidR="00B05CB9" w:rsidRPr="00E03030" w:rsidRDefault="00B05CB9" w:rsidP="00B05CB9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B05CB9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Art. 1. (1) 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Se aprobă suplimentarea bugetului Ministerului Transporturilor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și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Infrastructurii pe anul 202</w:t>
      </w:r>
      <w:r w:rsidR="00465053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cu suma de </w:t>
      </w:r>
      <w:r w:rsidR="0096523E">
        <w:rPr>
          <w:rFonts w:ascii="Times New Roman" w:hAnsi="Times New Roman" w:cs="Times New Roman"/>
          <w:bCs/>
          <w:sz w:val="24"/>
          <w:szCs w:val="24"/>
          <w:lang w:val="ro-RO" w:eastAsia="ro-RO"/>
        </w:rPr>
        <w:t>586</w:t>
      </w:r>
      <w:r w:rsidR="006A3119">
        <w:rPr>
          <w:rFonts w:ascii="Times New Roman" w:hAnsi="Times New Roman" w:cs="Times New Roman"/>
          <w:bCs/>
          <w:sz w:val="24"/>
          <w:szCs w:val="24"/>
          <w:lang w:val="ro-RO" w:eastAsia="ro-RO"/>
        </w:rPr>
        <w:t>.423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mii lei </w:t>
      </w:r>
      <w:r w:rsidR="002D15AD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cu referire la credite bugetare si 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credite de angajament din Fondul de rezervă bugetară la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dispoziția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Guvernului, prevăzut în bugetul de stat pe anul 202</w:t>
      </w:r>
      <w:r w:rsidR="00C128A5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la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C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apitolul 84.01 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Transporturi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Subcapitolul 84.01.04 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>Transport Feroviar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P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aragraf 84.01.04.01 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Transport pe calea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f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>erată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="00274296" w:rsidRPr="00274296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Titlul </w:t>
      </w:r>
      <w:r w:rsidR="00274296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IV. 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="00274296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Subvenții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în vederea </w:t>
      </w:r>
      <w:r w:rsidR="005255AE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asigurării continuității prestării obligației de serviciu public în domeniul transportului feroviar de călători, p</w:t>
      </w:r>
      <w:r w:rsidR="00D55278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rin acoperirea costurilor suportate, dar fără a depăși suma care corespunde efectului financiar net echivalent cu totalitatea efectelor, pozitive sau negative, ale conformării cu </w:t>
      </w:r>
      <w:r w:rsidR="00E50A4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obligația</w:t>
      </w:r>
      <w:r w:rsidR="00D55278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de serviciu public asupra costurilor şi veniturilor operatorului de serviciu public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</w:p>
    <w:p w14:paraId="77A69BFB" w14:textId="77777777" w:rsidR="00AA55DC" w:rsidRDefault="00564706" w:rsidP="001F305F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E03030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(2) 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Se aprobă suplimentarea bugetului Ministerului Transporturilor </w:t>
      </w:r>
      <w:r w:rsidR="00E50A4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și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Infrastructurii pe anul 202</w:t>
      </w:r>
      <w:r w:rsidR="00465053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cu suma de</w:t>
      </w:r>
      <w:r w:rsidR="006925B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232.989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mii lei </w:t>
      </w:r>
      <w:r w:rsidR="002D15AD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cu referire la credite bugetare si 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credite de angajament din Fondul de rezervă bugetară la </w:t>
      </w:r>
      <w:r w:rsidR="00E50A4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dispoziția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Guvernului, prevăzut în bugetul de stat pe anul 202</w:t>
      </w:r>
      <w:r w:rsidR="00C128A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la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C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apitolul 68.01 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Asigurări și asistență socială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Subcapitolul 68.01.50 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Alte cheltuieli în domeniul asigurărilor și asistenței sociale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P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aragraf 68.01.50.50 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Alte cheltuieli în domeniul asistenței sociale</w:t>
      </w:r>
      <w:r w:rsidR="00B30D9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, în vederea asigurării serviciului universal, pentru toate categoriile de beneficiari de facilități de călătorie pe calea ferată</w:t>
      </w:r>
      <w:r w:rsidR="006925B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="006925B9" w:rsidRPr="00663105">
        <w:rPr>
          <w:rFonts w:ascii="Times New Roman" w:hAnsi="Times New Roman" w:cs="Times New Roman"/>
          <w:bCs/>
          <w:sz w:val="24"/>
          <w:szCs w:val="24"/>
          <w:lang w:val="ro-RO" w:eastAsia="ro-RO"/>
        </w:rPr>
        <w:t>beneficiari de facilități de călătorie cu metroul, rutier și naval</w:t>
      </w:r>
      <w:r w:rsidR="006925B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, respectiv pentru beneficiarii Legii nr. 448/ 06.12.2006.</w:t>
      </w:r>
    </w:p>
    <w:p w14:paraId="306EA136" w14:textId="12A08429" w:rsidR="00627451" w:rsidRPr="00E03030" w:rsidRDefault="001F305F" w:rsidP="001F305F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E03030">
        <w:rPr>
          <w:rFonts w:ascii="Times New Roman" w:hAnsi="Times New Roman" w:cs="Times New Roman"/>
          <w:b/>
          <w:sz w:val="24"/>
          <w:szCs w:val="24"/>
          <w:lang w:val="ro-RO" w:eastAsia="ro-RO"/>
        </w:rPr>
        <w:t>3</w:t>
      </w:r>
      <w:r w:rsidR="00627451" w:rsidRPr="00E03030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) 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Se aprobă suplimentarea bugetului Ministerului Transporturilor și Infrastructurii pe anul 202</w:t>
      </w:r>
      <w:r w:rsidR="00465053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cu suma de </w:t>
      </w:r>
      <w:r w:rsidR="000C463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1.630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mii lei </w:t>
      </w:r>
      <w:r w:rsidR="002D15AD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cu referire la credite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bugetare</w:t>
      </w:r>
      <w:r w:rsidR="002D15AD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si 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credite de angajament din Fondul de rezervă bugetară la dispoziția Guvernului, prevăzut în bugetul de stat pe anul 202</w:t>
      </w:r>
      <w:r w:rsidR="00C128A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la capitolul 84.01 „Transporturi”, Subcapitolul 84.01.04 „Transport Feroviar”,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P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aragraf 84.01.04.01 „Transport pe calea </w:t>
      </w:r>
      <w:r w:rsidR="00AA55DC">
        <w:rPr>
          <w:rFonts w:ascii="Times New Roman" w:hAnsi="Times New Roman" w:cs="Times New Roman"/>
          <w:bCs/>
          <w:sz w:val="24"/>
          <w:szCs w:val="24"/>
          <w:lang w:val="ro-RO" w:eastAsia="ro-RO"/>
        </w:rPr>
        <w:t>f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erată”, Titlul II. „Bunuri și servicii”, </w:t>
      </w:r>
      <w:r w:rsidR="0051001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în vederea asigurării continuității prestării obligației de serviciu public în domeniul transportului feroviar de călători</w:t>
      </w:r>
      <w:r w:rsidR="00627451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</w:p>
    <w:p w14:paraId="5C315E9A" w14:textId="5B3721E8" w:rsidR="00EA4A65" w:rsidRDefault="00B05CB9" w:rsidP="001F305F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E03030">
        <w:rPr>
          <w:rFonts w:ascii="Times New Roman" w:hAnsi="Times New Roman" w:cs="Times New Roman"/>
          <w:b/>
          <w:sz w:val="24"/>
          <w:szCs w:val="24"/>
          <w:lang w:val="ro-RO" w:eastAsia="ro-RO"/>
        </w:rPr>
        <w:t>(</w:t>
      </w:r>
      <w:r w:rsidR="00AA55DC">
        <w:rPr>
          <w:rFonts w:ascii="Times New Roman" w:hAnsi="Times New Roman" w:cs="Times New Roman"/>
          <w:b/>
          <w:sz w:val="24"/>
          <w:szCs w:val="24"/>
          <w:lang w:val="ro-RO" w:eastAsia="ro-RO"/>
        </w:rPr>
        <w:t>4</w:t>
      </w:r>
      <w:r w:rsidRPr="00E03030">
        <w:rPr>
          <w:rFonts w:ascii="Times New Roman" w:hAnsi="Times New Roman" w:cs="Times New Roman"/>
          <w:b/>
          <w:sz w:val="24"/>
          <w:szCs w:val="24"/>
          <w:lang w:val="ro-RO" w:eastAsia="ro-RO"/>
        </w:rPr>
        <w:t>)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Sumele prevăzute la alin. (</w:t>
      </w:r>
      <w:r w:rsidR="00EA4A6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1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)</w:t>
      </w:r>
      <w:r w:rsidR="00EA4A6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51001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-</w:t>
      </w:r>
      <w:r w:rsidR="00EA4A6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(</w:t>
      </w:r>
      <w:r w:rsidR="0051001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3</w:t>
      </w:r>
      <w:r w:rsidR="00EA4A6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>)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se utilizează </w:t>
      </w:r>
      <w:r w:rsidR="006925B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pentru plățile efectuate de către Ministerul Transporturilor și Infrastructurii în baza deconturilor întocmite și transmise pentru toate categoriile de </w:t>
      </w:r>
      <w:r w:rsidR="006925B9" w:rsidRPr="00663105">
        <w:rPr>
          <w:rFonts w:ascii="Times New Roman" w:hAnsi="Times New Roman" w:cs="Times New Roman"/>
          <w:bCs/>
          <w:sz w:val="24"/>
          <w:szCs w:val="24"/>
          <w:lang w:val="ro-RO" w:eastAsia="ro-RO"/>
        </w:rPr>
        <w:t>beneficiari de facilități de călătorie cu metroul, rutier și naval</w:t>
      </w:r>
      <w:r w:rsidR="006925B9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respectiv pentru beneficiarii Legii nr. 448/ 06.12.2006 și </w:t>
      </w:r>
      <w:r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pentru </w:t>
      </w:r>
      <w:r w:rsidR="00EA4A6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implementarea de către Autoritatea pentru Reformă Feroviară a programului de </w:t>
      </w:r>
      <w:r w:rsidR="00EA4A65" w:rsidRPr="00E03030">
        <w:rPr>
          <w:rFonts w:ascii="Times New Roman" w:hAnsi="Times New Roman" w:cs="Times New Roman"/>
          <w:bCs/>
          <w:sz w:val="24"/>
          <w:szCs w:val="24"/>
          <w:lang w:val="ro-RO" w:eastAsia="ro-RO"/>
        </w:rPr>
        <w:lastRenderedPageBreak/>
        <w:t>transport feroviar de călători, în condițiile de calitate, confort</w:t>
      </w:r>
      <w:r w:rsidR="00EA4A65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și eficiență prevăzute în contractele de servicii publice </w:t>
      </w:r>
      <w:r w:rsid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încheiate cu operatorii de transport feroviar de călători, în temeiul 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Hotărârii Guvernului nr. 1453/2022 pentru aprobarea contractelor de servicii publice pentru perioada decembrie 2022-11 decembrie 2032 în transportul feroviar public de călători, stabilirea unor </w:t>
      </w:r>
      <w:r w:rsidR="00E50A45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condiționalități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pentru Autoritatea pentru Reformă Feroviară, operatorii de transport feroviar </w:t>
      </w:r>
      <w:r w:rsidR="00E50A45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și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Compania </w:t>
      </w:r>
      <w:r w:rsidR="00E50A45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Națională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de Căi Ferate 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„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C.F.R.</w:t>
      </w:r>
      <w:r w:rsidR="00B30D95">
        <w:rPr>
          <w:rFonts w:ascii="Times New Roman" w:hAnsi="Times New Roman" w:cs="Times New Roman"/>
          <w:bCs/>
          <w:sz w:val="24"/>
          <w:szCs w:val="24"/>
          <w:lang w:val="ro-RO" w:eastAsia="ro-RO"/>
        </w:rPr>
        <w:t>”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- S.A., în vederea implementării </w:t>
      </w:r>
      <w:r w:rsidR="00E50A45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obligațiilor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de serviciu public feroviar din România, precum şi pentru aprobarea metodologiilor de predare în cadrul contractelor de servicii publice cu atribuire directă a materialului rulant feroviar </w:t>
      </w:r>
      <w:r w:rsidR="00E50A45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achiziționat</w:t>
      </w:r>
      <w:r w:rsidR="00DF7E1C" w:rsidRP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cu fonduri europene</w:t>
      </w:r>
      <w:r w:rsidR="00DF7E1C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</w:p>
    <w:p w14:paraId="5ED02FC7" w14:textId="77777777" w:rsidR="00B05CB9" w:rsidRPr="00B05CB9" w:rsidRDefault="00B05CB9" w:rsidP="00B05CB9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B05CB9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 2.</w:t>
      </w:r>
      <w:r w:rsidR="00EA4A65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606BB7">
        <w:rPr>
          <w:rFonts w:ascii="Times New Roman" w:hAnsi="Times New Roman" w:cs="Times New Roman"/>
          <w:b/>
          <w:sz w:val="24"/>
          <w:szCs w:val="24"/>
          <w:lang w:val="ro-RO" w:eastAsia="ro-RO"/>
        </w:rPr>
        <w:t>(1)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3F6455" w:rsidRPr="003F6455">
        <w:rPr>
          <w:rFonts w:ascii="Times New Roman" w:hAnsi="Times New Roman" w:cs="Times New Roman"/>
          <w:bCs/>
          <w:sz w:val="24"/>
          <w:szCs w:val="24"/>
          <w:lang w:val="ro-RO" w:eastAsia="ro-RO"/>
        </w:rPr>
        <w:t>Ministerul Transporturilor şi Infrastructurii, în calitate de ordonator principal de credite, răspunde de modul de utilizare, în conformitate cu dispozițiile legale, a sumei alocate potrivit prevederilor art. 1.</w:t>
      </w:r>
    </w:p>
    <w:p w14:paraId="73C5D41C" w14:textId="77777777" w:rsidR="00B05CB9" w:rsidRPr="00B05CB9" w:rsidRDefault="00B05CB9" w:rsidP="00B05CB9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606BB7">
        <w:rPr>
          <w:rFonts w:ascii="Times New Roman" w:hAnsi="Times New Roman" w:cs="Times New Roman"/>
          <w:b/>
          <w:sz w:val="24"/>
          <w:szCs w:val="24"/>
          <w:lang w:val="ro-RO" w:eastAsia="ro-RO"/>
        </w:rPr>
        <w:t>(2)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Sumele rămase neutilizate se restituie la Fondul de rezervă bugetară la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dispoziția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Guvernului până la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sfârșitul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anului 202</w:t>
      </w:r>
      <w:r w:rsidR="00510019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în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condițiile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legii.</w:t>
      </w:r>
    </w:p>
    <w:p w14:paraId="076728D1" w14:textId="77777777" w:rsidR="00286A46" w:rsidRPr="00B05CB9" w:rsidRDefault="00B05CB9" w:rsidP="00263975">
      <w:pPr>
        <w:pStyle w:val="CharCharCaracterCharCharCaracterCharCharCaracter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 w:eastAsia="ro-RO"/>
        </w:rPr>
      </w:pPr>
      <w:r w:rsidRPr="00B05CB9">
        <w:rPr>
          <w:rFonts w:ascii="Times New Roman" w:hAnsi="Times New Roman" w:cs="Times New Roman"/>
          <w:b/>
          <w:sz w:val="24"/>
          <w:szCs w:val="24"/>
          <w:lang w:val="ro-RO" w:eastAsia="ro-RO"/>
        </w:rPr>
        <w:t>Art. 3. -</w:t>
      </w:r>
      <w:r w:rsidR="00263975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Se autorizează Ministerul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Finanțelor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să introducă, la propunerea ordonatorului principal de credite, modificările corespunzătoare în structura bugetului de stat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și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în volumul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și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structura bugetului Ministerului Transporturilor </w:t>
      </w:r>
      <w:r w:rsidR="00E50A45"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și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Infrastructurii pe anul 202</w:t>
      </w:r>
      <w:r w:rsidR="00510019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Pr="00B05CB9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</w:p>
    <w:p w14:paraId="1B958A1B" w14:textId="77777777" w:rsidR="007C066D" w:rsidRPr="006A0F46" w:rsidRDefault="00996F9C" w:rsidP="00996F9C">
      <w:pPr>
        <w:pStyle w:val="al"/>
        <w:tabs>
          <w:tab w:val="left" w:pos="4656"/>
        </w:tabs>
        <w:spacing w:before="0" w:beforeAutospacing="0" w:after="0" w:afterAutospacing="0"/>
        <w:ind w:firstLine="720"/>
        <w:jc w:val="both"/>
        <w:rPr>
          <w:b/>
          <w:lang w:val="ro-RO"/>
        </w:rPr>
      </w:pPr>
      <w:r w:rsidRPr="006A0F46">
        <w:rPr>
          <w:b/>
          <w:lang w:val="ro-RO"/>
        </w:rPr>
        <w:tab/>
      </w:r>
    </w:p>
    <w:p w14:paraId="52DFFFC8" w14:textId="77777777" w:rsidR="00551482" w:rsidRPr="006A0F46" w:rsidRDefault="00551482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6646A8E" w14:textId="77777777" w:rsidR="00996F9C" w:rsidRPr="006A0F46" w:rsidRDefault="009D2750" w:rsidP="001226B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F46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14:paraId="0558ADB2" w14:textId="77777777" w:rsidR="0090267A" w:rsidRPr="006A0F46" w:rsidRDefault="00CE6876" w:rsidP="001226B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0F46">
        <w:rPr>
          <w:rFonts w:ascii="Times New Roman" w:hAnsi="Times New Roman" w:cs="Times New Roman"/>
          <w:b/>
          <w:sz w:val="24"/>
          <w:szCs w:val="24"/>
          <w:lang w:val="ro-RO"/>
        </w:rPr>
        <w:t>ION – MARCEL CIOLACU</w:t>
      </w:r>
    </w:p>
    <w:p w14:paraId="360C2C8E" w14:textId="77777777" w:rsidR="0090267A" w:rsidRPr="006A0F46" w:rsidRDefault="0090267A" w:rsidP="001226B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16017B" w14:textId="77777777" w:rsidR="0090267A" w:rsidRPr="006A0F46" w:rsidRDefault="0090267A" w:rsidP="001226B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438082" w14:textId="77777777" w:rsidR="0090267A" w:rsidRPr="006A0F46" w:rsidRDefault="0090267A" w:rsidP="001226BE">
      <w:pPr>
        <w:pStyle w:val="CharCharCaracterCharCharCaracterCharCharCaracter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A5D73E" w14:textId="77777777" w:rsidR="00F72B61" w:rsidRPr="006A0F46" w:rsidRDefault="00F72B61" w:rsidP="00F50E1F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72B61" w:rsidRPr="006A0F46" w:rsidSect="004C259F">
      <w:footerReference w:type="default" r:id="rId9"/>
      <w:pgSz w:w="12240" w:h="15840"/>
      <w:pgMar w:top="360" w:right="1080" w:bottom="900" w:left="126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4C885" w14:textId="77777777" w:rsidR="00FA4DCA" w:rsidRDefault="00FA4DCA" w:rsidP="00DC25CC">
      <w:r>
        <w:separator/>
      </w:r>
    </w:p>
  </w:endnote>
  <w:endnote w:type="continuationSeparator" w:id="0">
    <w:p w14:paraId="1C05DA63" w14:textId="77777777" w:rsidR="00FA4DCA" w:rsidRDefault="00FA4DCA" w:rsidP="00DC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88764" w14:textId="77777777" w:rsidR="006A0E93" w:rsidRDefault="006A0E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BB4">
      <w:t>2</w:t>
    </w:r>
    <w:r>
      <w:fldChar w:fldCharType="end"/>
    </w:r>
  </w:p>
  <w:p w14:paraId="321EF6BF" w14:textId="77777777" w:rsidR="006A0E93" w:rsidRDefault="006A0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8ED89" w14:textId="77777777" w:rsidR="00FA4DCA" w:rsidRDefault="00FA4DCA" w:rsidP="00DC25CC">
      <w:r>
        <w:separator/>
      </w:r>
    </w:p>
  </w:footnote>
  <w:footnote w:type="continuationSeparator" w:id="0">
    <w:p w14:paraId="6D96E06C" w14:textId="77777777" w:rsidR="00FA4DCA" w:rsidRDefault="00FA4DCA" w:rsidP="00DC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02A04"/>
    <w:multiLevelType w:val="hybridMultilevel"/>
    <w:tmpl w:val="D48A3F4C"/>
    <w:lvl w:ilvl="0" w:tplc="89748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9C032A"/>
    <w:multiLevelType w:val="hybridMultilevel"/>
    <w:tmpl w:val="443E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16C1"/>
    <w:multiLevelType w:val="hybridMultilevel"/>
    <w:tmpl w:val="5DD6689A"/>
    <w:lvl w:ilvl="0" w:tplc="CEAE74A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DD8339A"/>
    <w:multiLevelType w:val="hybridMultilevel"/>
    <w:tmpl w:val="15F01DD6"/>
    <w:lvl w:ilvl="0" w:tplc="594ACC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25A4F"/>
    <w:multiLevelType w:val="hybridMultilevel"/>
    <w:tmpl w:val="347259C4"/>
    <w:lvl w:ilvl="0" w:tplc="443C44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787284">
    <w:abstractNumId w:val="1"/>
  </w:num>
  <w:num w:numId="2" w16cid:durableId="781462786">
    <w:abstractNumId w:val="0"/>
  </w:num>
  <w:num w:numId="3" w16cid:durableId="1329862982">
    <w:abstractNumId w:val="3"/>
  </w:num>
  <w:num w:numId="4" w16cid:durableId="1054550330">
    <w:abstractNumId w:val="2"/>
  </w:num>
  <w:num w:numId="5" w16cid:durableId="1099760819">
    <w:abstractNumId w:val="4"/>
  </w:num>
  <w:num w:numId="6" w16cid:durableId="1885360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E8"/>
    <w:rsid w:val="000047C7"/>
    <w:rsid w:val="0001306A"/>
    <w:rsid w:val="00013EA6"/>
    <w:rsid w:val="00015DF2"/>
    <w:rsid w:val="00016A75"/>
    <w:rsid w:val="00023383"/>
    <w:rsid w:val="00023C93"/>
    <w:rsid w:val="00026C31"/>
    <w:rsid w:val="00032BF2"/>
    <w:rsid w:val="000345E3"/>
    <w:rsid w:val="00034B2B"/>
    <w:rsid w:val="00035B6E"/>
    <w:rsid w:val="0004648D"/>
    <w:rsid w:val="0004702D"/>
    <w:rsid w:val="0005070E"/>
    <w:rsid w:val="00054441"/>
    <w:rsid w:val="00062797"/>
    <w:rsid w:val="00062E1A"/>
    <w:rsid w:val="00066C61"/>
    <w:rsid w:val="00071779"/>
    <w:rsid w:val="00072983"/>
    <w:rsid w:val="00073783"/>
    <w:rsid w:val="000769FC"/>
    <w:rsid w:val="00082A06"/>
    <w:rsid w:val="00082DCB"/>
    <w:rsid w:val="000837D7"/>
    <w:rsid w:val="00087046"/>
    <w:rsid w:val="000873E1"/>
    <w:rsid w:val="00090F54"/>
    <w:rsid w:val="000932D6"/>
    <w:rsid w:val="0009650C"/>
    <w:rsid w:val="000A4C78"/>
    <w:rsid w:val="000A54FF"/>
    <w:rsid w:val="000A623E"/>
    <w:rsid w:val="000B212C"/>
    <w:rsid w:val="000B6968"/>
    <w:rsid w:val="000C3C55"/>
    <w:rsid w:val="000C4063"/>
    <w:rsid w:val="000C4635"/>
    <w:rsid w:val="000C70D3"/>
    <w:rsid w:val="000C7280"/>
    <w:rsid w:val="000D188F"/>
    <w:rsid w:val="000D3552"/>
    <w:rsid w:val="000D4D2F"/>
    <w:rsid w:val="000D754D"/>
    <w:rsid w:val="000E5986"/>
    <w:rsid w:val="000E5EAF"/>
    <w:rsid w:val="000F1555"/>
    <w:rsid w:val="000F21CF"/>
    <w:rsid w:val="000F4C6A"/>
    <w:rsid w:val="00101AF7"/>
    <w:rsid w:val="001021AF"/>
    <w:rsid w:val="00105E40"/>
    <w:rsid w:val="001073E0"/>
    <w:rsid w:val="00114770"/>
    <w:rsid w:val="00121017"/>
    <w:rsid w:val="001226BE"/>
    <w:rsid w:val="00130783"/>
    <w:rsid w:val="00133243"/>
    <w:rsid w:val="00135AD9"/>
    <w:rsid w:val="0013765D"/>
    <w:rsid w:val="00140772"/>
    <w:rsid w:val="001410D9"/>
    <w:rsid w:val="00145963"/>
    <w:rsid w:val="001502B6"/>
    <w:rsid w:val="00152F57"/>
    <w:rsid w:val="00157B5B"/>
    <w:rsid w:val="00157DC4"/>
    <w:rsid w:val="001606D9"/>
    <w:rsid w:val="00163127"/>
    <w:rsid w:val="00166488"/>
    <w:rsid w:val="001673CF"/>
    <w:rsid w:val="00170ABC"/>
    <w:rsid w:val="00170D26"/>
    <w:rsid w:val="00171573"/>
    <w:rsid w:val="00171763"/>
    <w:rsid w:val="00175AD1"/>
    <w:rsid w:val="00177289"/>
    <w:rsid w:val="0018336C"/>
    <w:rsid w:val="0018482A"/>
    <w:rsid w:val="0018631E"/>
    <w:rsid w:val="00191187"/>
    <w:rsid w:val="00191194"/>
    <w:rsid w:val="00192C73"/>
    <w:rsid w:val="00196AF5"/>
    <w:rsid w:val="001975CB"/>
    <w:rsid w:val="001A24C9"/>
    <w:rsid w:val="001A28CB"/>
    <w:rsid w:val="001A6A07"/>
    <w:rsid w:val="001B07C2"/>
    <w:rsid w:val="001B3782"/>
    <w:rsid w:val="001C03FB"/>
    <w:rsid w:val="001C0CD5"/>
    <w:rsid w:val="001D04CC"/>
    <w:rsid w:val="001D1E57"/>
    <w:rsid w:val="001D1E84"/>
    <w:rsid w:val="001D2C58"/>
    <w:rsid w:val="001D4985"/>
    <w:rsid w:val="001E0E71"/>
    <w:rsid w:val="001E12A1"/>
    <w:rsid w:val="001E1767"/>
    <w:rsid w:val="001E27AF"/>
    <w:rsid w:val="001E3CA4"/>
    <w:rsid w:val="001E3CED"/>
    <w:rsid w:val="001E60DF"/>
    <w:rsid w:val="001F305F"/>
    <w:rsid w:val="001F314F"/>
    <w:rsid w:val="001F6A81"/>
    <w:rsid w:val="001F6ED6"/>
    <w:rsid w:val="001F73B6"/>
    <w:rsid w:val="00201999"/>
    <w:rsid w:val="002040E4"/>
    <w:rsid w:val="00204194"/>
    <w:rsid w:val="00207D6F"/>
    <w:rsid w:val="00212CED"/>
    <w:rsid w:val="002134D9"/>
    <w:rsid w:val="00216F6B"/>
    <w:rsid w:val="00224C68"/>
    <w:rsid w:val="00225931"/>
    <w:rsid w:val="00231C59"/>
    <w:rsid w:val="002328A2"/>
    <w:rsid w:val="00233EF1"/>
    <w:rsid w:val="00236872"/>
    <w:rsid w:val="00240D89"/>
    <w:rsid w:val="00242C81"/>
    <w:rsid w:val="002454C6"/>
    <w:rsid w:val="00262F2C"/>
    <w:rsid w:val="00263975"/>
    <w:rsid w:val="00265451"/>
    <w:rsid w:val="002734DC"/>
    <w:rsid w:val="002736C6"/>
    <w:rsid w:val="00274296"/>
    <w:rsid w:val="002745F4"/>
    <w:rsid w:val="00274D8F"/>
    <w:rsid w:val="00276EDA"/>
    <w:rsid w:val="002779BB"/>
    <w:rsid w:val="00277A31"/>
    <w:rsid w:val="00281B16"/>
    <w:rsid w:val="00282339"/>
    <w:rsid w:val="00283A90"/>
    <w:rsid w:val="00286A46"/>
    <w:rsid w:val="00286B76"/>
    <w:rsid w:val="00290789"/>
    <w:rsid w:val="00296E08"/>
    <w:rsid w:val="002971FD"/>
    <w:rsid w:val="002A71DF"/>
    <w:rsid w:val="002A7A5C"/>
    <w:rsid w:val="002B084C"/>
    <w:rsid w:val="002B1B4D"/>
    <w:rsid w:val="002B1DFD"/>
    <w:rsid w:val="002B4950"/>
    <w:rsid w:val="002B50F2"/>
    <w:rsid w:val="002D15AD"/>
    <w:rsid w:val="002D778F"/>
    <w:rsid w:val="002E4A39"/>
    <w:rsid w:val="002E5975"/>
    <w:rsid w:val="002F3FA9"/>
    <w:rsid w:val="002F4561"/>
    <w:rsid w:val="002F7827"/>
    <w:rsid w:val="00303B12"/>
    <w:rsid w:val="003155C5"/>
    <w:rsid w:val="00321C62"/>
    <w:rsid w:val="003254AD"/>
    <w:rsid w:val="00327CDD"/>
    <w:rsid w:val="0033668D"/>
    <w:rsid w:val="003375F2"/>
    <w:rsid w:val="00342FED"/>
    <w:rsid w:val="00343B17"/>
    <w:rsid w:val="00343D97"/>
    <w:rsid w:val="0034470A"/>
    <w:rsid w:val="0034760E"/>
    <w:rsid w:val="00352BBA"/>
    <w:rsid w:val="0035563F"/>
    <w:rsid w:val="00355669"/>
    <w:rsid w:val="003569F0"/>
    <w:rsid w:val="00356FD1"/>
    <w:rsid w:val="00360514"/>
    <w:rsid w:val="00363F5E"/>
    <w:rsid w:val="00366D82"/>
    <w:rsid w:val="003675E2"/>
    <w:rsid w:val="00376A70"/>
    <w:rsid w:val="00377874"/>
    <w:rsid w:val="00383D3B"/>
    <w:rsid w:val="003871AD"/>
    <w:rsid w:val="00390E55"/>
    <w:rsid w:val="003925B5"/>
    <w:rsid w:val="0039678B"/>
    <w:rsid w:val="00396AB6"/>
    <w:rsid w:val="003A0DD6"/>
    <w:rsid w:val="003B3BFC"/>
    <w:rsid w:val="003B3FDA"/>
    <w:rsid w:val="003C2657"/>
    <w:rsid w:val="003C612F"/>
    <w:rsid w:val="003D1F95"/>
    <w:rsid w:val="003D5701"/>
    <w:rsid w:val="003D7545"/>
    <w:rsid w:val="003E2DA3"/>
    <w:rsid w:val="003E3F6C"/>
    <w:rsid w:val="003E41A9"/>
    <w:rsid w:val="003E529D"/>
    <w:rsid w:val="003E58EA"/>
    <w:rsid w:val="003E7570"/>
    <w:rsid w:val="003E75E2"/>
    <w:rsid w:val="003E799E"/>
    <w:rsid w:val="003E7CE8"/>
    <w:rsid w:val="003F3AAB"/>
    <w:rsid w:val="003F6455"/>
    <w:rsid w:val="003F7D42"/>
    <w:rsid w:val="00400617"/>
    <w:rsid w:val="00401967"/>
    <w:rsid w:val="00403D2F"/>
    <w:rsid w:val="00407C1D"/>
    <w:rsid w:val="004110DD"/>
    <w:rsid w:val="00411BC5"/>
    <w:rsid w:val="00414B13"/>
    <w:rsid w:val="00415CB8"/>
    <w:rsid w:val="00417375"/>
    <w:rsid w:val="00417730"/>
    <w:rsid w:val="00423135"/>
    <w:rsid w:val="00430089"/>
    <w:rsid w:val="00436B8C"/>
    <w:rsid w:val="00436E4F"/>
    <w:rsid w:val="00436F73"/>
    <w:rsid w:val="004404F7"/>
    <w:rsid w:val="00446FBC"/>
    <w:rsid w:val="0045330F"/>
    <w:rsid w:val="00453F5C"/>
    <w:rsid w:val="00455339"/>
    <w:rsid w:val="00465053"/>
    <w:rsid w:val="00466CDD"/>
    <w:rsid w:val="0047076A"/>
    <w:rsid w:val="00473BFB"/>
    <w:rsid w:val="0047534D"/>
    <w:rsid w:val="00476D17"/>
    <w:rsid w:val="004770F3"/>
    <w:rsid w:val="00480EE5"/>
    <w:rsid w:val="004816B9"/>
    <w:rsid w:val="004835DD"/>
    <w:rsid w:val="004869DA"/>
    <w:rsid w:val="004A58F5"/>
    <w:rsid w:val="004A62B4"/>
    <w:rsid w:val="004A78D4"/>
    <w:rsid w:val="004B20E2"/>
    <w:rsid w:val="004B2404"/>
    <w:rsid w:val="004C114F"/>
    <w:rsid w:val="004C2318"/>
    <w:rsid w:val="004C259F"/>
    <w:rsid w:val="004C74AE"/>
    <w:rsid w:val="004D5C02"/>
    <w:rsid w:val="004E5131"/>
    <w:rsid w:val="004E5C80"/>
    <w:rsid w:val="004F08D7"/>
    <w:rsid w:val="004F1D04"/>
    <w:rsid w:val="004F3BF5"/>
    <w:rsid w:val="00501D74"/>
    <w:rsid w:val="00501FDD"/>
    <w:rsid w:val="00505298"/>
    <w:rsid w:val="005078F1"/>
    <w:rsid w:val="00510019"/>
    <w:rsid w:val="005113B6"/>
    <w:rsid w:val="005151F3"/>
    <w:rsid w:val="0051649F"/>
    <w:rsid w:val="005207AA"/>
    <w:rsid w:val="00521BD7"/>
    <w:rsid w:val="00521E04"/>
    <w:rsid w:val="005255AE"/>
    <w:rsid w:val="00537BE4"/>
    <w:rsid w:val="005407DA"/>
    <w:rsid w:val="00540F38"/>
    <w:rsid w:val="00543128"/>
    <w:rsid w:val="00551482"/>
    <w:rsid w:val="00553A90"/>
    <w:rsid w:val="0055782C"/>
    <w:rsid w:val="005623DA"/>
    <w:rsid w:val="00564706"/>
    <w:rsid w:val="00583E4E"/>
    <w:rsid w:val="0058423E"/>
    <w:rsid w:val="00585C7D"/>
    <w:rsid w:val="00591475"/>
    <w:rsid w:val="00591F41"/>
    <w:rsid w:val="00595DCD"/>
    <w:rsid w:val="0059638A"/>
    <w:rsid w:val="00596D23"/>
    <w:rsid w:val="00597DB9"/>
    <w:rsid w:val="005B5FE1"/>
    <w:rsid w:val="005B7E58"/>
    <w:rsid w:val="005C5D60"/>
    <w:rsid w:val="005D5A7D"/>
    <w:rsid w:val="005D65BE"/>
    <w:rsid w:val="005D6CE7"/>
    <w:rsid w:val="005E03FF"/>
    <w:rsid w:val="005E4F4B"/>
    <w:rsid w:val="005E50BB"/>
    <w:rsid w:val="005E5DA0"/>
    <w:rsid w:val="005F3851"/>
    <w:rsid w:val="006006F5"/>
    <w:rsid w:val="006018CC"/>
    <w:rsid w:val="0060280C"/>
    <w:rsid w:val="00605EA8"/>
    <w:rsid w:val="00606BB7"/>
    <w:rsid w:val="00620748"/>
    <w:rsid w:val="00627451"/>
    <w:rsid w:val="00627D1D"/>
    <w:rsid w:val="006353B7"/>
    <w:rsid w:val="006360C8"/>
    <w:rsid w:val="0063783C"/>
    <w:rsid w:val="0064603E"/>
    <w:rsid w:val="00654080"/>
    <w:rsid w:val="00656BB4"/>
    <w:rsid w:val="0066034E"/>
    <w:rsid w:val="00663105"/>
    <w:rsid w:val="0066480C"/>
    <w:rsid w:val="006648C3"/>
    <w:rsid w:val="0066746B"/>
    <w:rsid w:val="00673AD0"/>
    <w:rsid w:val="006764E5"/>
    <w:rsid w:val="00676CE7"/>
    <w:rsid w:val="00681855"/>
    <w:rsid w:val="00687A6D"/>
    <w:rsid w:val="006907A4"/>
    <w:rsid w:val="00691579"/>
    <w:rsid w:val="006918C8"/>
    <w:rsid w:val="006925B9"/>
    <w:rsid w:val="00693B11"/>
    <w:rsid w:val="00695E32"/>
    <w:rsid w:val="00696CAD"/>
    <w:rsid w:val="006A0E93"/>
    <w:rsid w:val="006A0F46"/>
    <w:rsid w:val="006A3119"/>
    <w:rsid w:val="006A3936"/>
    <w:rsid w:val="006B1056"/>
    <w:rsid w:val="006C2156"/>
    <w:rsid w:val="006C54F3"/>
    <w:rsid w:val="006C67E8"/>
    <w:rsid w:val="006C6EA8"/>
    <w:rsid w:val="006D3D34"/>
    <w:rsid w:val="006D4BA8"/>
    <w:rsid w:val="006D58C4"/>
    <w:rsid w:val="006D6458"/>
    <w:rsid w:val="006E0193"/>
    <w:rsid w:val="006E2ED8"/>
    <w:rsid w:val="006E2FCC"/>
    <w:rsid w:val="006E6A9E"/>
    <w:rsid w:val="006F296A"/>
    <w:rsid w:val="006F6F7A"/>
    <w:rsid w:val="00710F72"/>
    <w:rsid w:val="00712896"/>
    <w:rsid w:val="0071608A"/>
    <w:rsid w:val="007163E6"/>
    <w:rsid w:val="00721244"/>
    <w:rsid w:val="007362D1"/>
    <w:rsid w:val="00737395"/>
    <w:rsid w:val="00741ACE"/>
    <w:rsid w:val="00745F47"/>
    <w:rsid w:val="00746862"/>
    <w:rsid w:val="00756A31"/>
    <w:rsid w:val="00757458"/>
    <w:rsid w:val="00757E7D"/>
    <w:rsid w:val="00761292"/>
    <w:rsid w:val="007617F6"/>
    <w:rsid w:val="00763DAA"/>
    <w:rsid w:val="00766AC5"/>
    <w:rsid w:val="007672F9"/>
    <w:rsid w:val="00767647"/>
    <w:rsid w:val="0077097D"/>
    <w:rsid w:val="007726E3"/>
    <w:rsid w:val="00774095"/>
    <w:rsid w:val="00774332"/>
    <w:rsid w:val="0078101A"/>
    <w:rsid w:val="00787C3D"/>
    <w:rsid w:val="007906F4"/>
    <w:rsid w:val="00791454"/>
    <w:rsid w:val="00792714"/>
    <w:rsid w:val="00793FF0"/>
    <w:rsid w:val="00795FCB"/>
    <w:rsid w:val="007A1705"/>
    <w:rsid w:val="007A3629"/>
    <w:rsid w:val="007A7300"/>
    <w:rsid w:val="007B1078"/>
    <w:rsid w:val="007B75C7"/>
    <w:rsid w:val="007B7C0B"/>
    <w:rsid w:val="007C066D"/>
    <w:rsid w:val="007C2565"/>
    <w:rsid w:val="007C33DC"/>
    <w:rsid w:val="007C3BF2"/>
    <w:rsid w:val="007C429C"/>
    <w:rsid w:val="007C621F"/>
    <w:rsid w:val="007D02E1"/>
    <w:rsid w:val="007D261C"/>
    <w:rsid w:val="007D3428"/>
    <w:rsid w:val="007D3BFD"/>
    <w:rsid w:val="007D55B1"/>
    <w:rsid w:val="007F28D3"/>
    <w:rsid w:val="007F5090"/>
    <w:rsid w:val="007F5173"/>
    <w:rsid w:val="007F6755"/>
    <w:rsid w:val="007F7607"/>
    <w:rsid w:val="00801E7E"/>
    <w:rsid w:val="00811A4A"/>
    <w:rsid w:val="00812D78"/>
    <w:rsid w:val="00816BBB"/>
    <w:rsid w:val="00822B33"/>
    <w:rsid w:val="00827E13"/>
    <w:rsid w:val="0083182D"/>
    <w:rsid w:val="00832796"/>
    <w:rsid w:val="00833178"/>
    <w:rsid w:val="00836377"/>
    <w:rsid w:val="008443B8"/>
    <w:rsid w:val="00845496"/>
    <w:rsid w:val="00851241"/>
    <w:rsid w:val="00852375"/>
    <w:rsid w:val="00854A56"/>
    <w:rsid w:val="00856F36"/>
    <w:rsid w:val="00860B2F"/>
    <w:rsid w:val="00861C50"/>
    <w:rsid w:val="008666B7"/>
    <w:rsid w:val="00870534"/>
    <w:rsid w:val="00870C6A"/>
    <w:rsid w:val="00872161"/>
    <w:rsid w:val="00880054"/>
    <w:rsid w:val="00881FEA"/>
    <w:rsid w:val="008822C7"/>
    <w:rsid w:val="00883CCE"/>
    <w:rsid w:val="00884665"/>
    <w:rsid w:val="00886E8C"/>
    <w:rsid w:val="00892352"/>
    <w:rsid w:val="00896A86"/>
    <w:rsid w:val="00897419"/>
    <w:rsid w:val="008A0E08"/>
    <w:rsid w:val="008A251D"/>
    <w:rsid w:val="008A2D96"/>
    <w:rsid w:val="008A38AB"/>
    <w:rsid w:val="008A6220"/>
    <w:rsid w:val="008A739E"/>
    <w:rsid w:val="008B1FAD"/>
    <w:rsid w:val="008B2D96"/>
    <w:rsid w:val="008B6A8E"/>
    <w:rsid w:val="008C535E"/>
    <w:rsid w:val="008C565B"/>
    <w:rsid w:val="008D03F0"/>
    <w:rsid w:val="008D2892"/>
    <w:rsid w:val="008D3D0F"/>
    <w:rsid w:val="008D444D"/>
    <w:rsid w:val="008E18F0"/>
    <w:rsid w:val="008E5666"/>
    <w:rsid w:val="008E71DE"/>
    <w:rsid w:val="008F127B"/>
    <w:rsid w:val="008F1D81"/>
    <w:rsid w:val="008F598B"/>
    <w:rsid w:val="008F6931"/>
    <w:rsid w:val="00900EBC"/>
    <w:rsid w:val="0090267A"/>
    <w:rsid w:val="009041B6"/>
    <w:rsid w:val="00905887"/>
    <w:rsid w:val="00910853"/>
    <w:rsid w:val="00921FFA"/>
    <w:rsid w:val="00927292"/>
    <w:rsid w:val="00927AE0"/>
    <w:rsid w:val="00930233"/>
    <w:rsid w:val="0093162B"/>
    <w:rsid w:val="009350D3"/>
    <w:rsid w:val="009431E1"/>
    <w:rsid w:val="00943F70"/>
    <w:rsid w:val="00951A82"/>
    <w:rsid w:val="00952FC3"/>
    <w:rsid w:val="00955EE4"/>
    <w:rsid w:val="009561EE"/>
    <w:rsid w:val="00956344"/>
    <w:rsid w:val="00957FC6"/>
    <w:rsid w:val="009609AD"/>
    <w:rsid w:val="00964007"/>
    <w:rsid w:val="00964E75"/>
    <w:rsid w:val="00964F40"/>
    <w:rsid w:val="0096523E"/>
    <w:rsid w:val="00966E0E"/>
    <w:rsid w:val="00970074"/>
    <w:rsid w:val="0097237B"/>
    <w:rsid w:val="0097352C"/>
    <w:rsid w:val="00975971"/>
    <w:rsid w:val="00975FD3"/>
    <w:rsid w:val="009821A9"/>
    <w:rsid w:val="009902D6"/>
    <w:rsid w:val="0099102A"/>
    <w:rsid w:val="00993680"/>
    <w:rsid w:val="00996F9C"/>
    <w:rsid w:val="00996FE8"/>
    <w:rsid w:val="009A4F6F"/>
    <w:rsid w:val="009B2B52"/>
    <w:rsid w:val="009B4B89"/>
    <w:rsid w:val="009B53A1"/>
    <w:rsid w:val="009B6167"/>
    <w:rsid w:val="009B77DA"/>
    <w:rsid w:val="009B7AC1"/>
    <w:rsid w:val="009B7F84"/>
    <w:rsid w:val="009C615B"/>
    <w:rsid w:val="009D2750"/>
    <w:rsid w:val="009D3EFE"/>
    <w:rsid w:val="009D3F2B"/>
    <w:rsid w:val="009E7AED"/>
    <w:rsid w:val="009E7C11"/>
    <w:rsid w:val="009F11C3"/>
    <w:rsid w:val="009F47BC"/>
    <w:rsid w:val="009F540C"/>
    <w:rsid w:val="009F6BFC"/>
    <w:rsid w:val="00A05BCE"/>
    <w:rsid w:val="00A11D94"/>
    <w:rsid w:val="00A121DB"/>
    <w:rsid w:val="00A1400A"/>
    <w:rsid w:val="00A1459F"/>
    <w:rsid w:val="00A2196F"/>
    <w:rsid w:val="00A22406"/>
    <w:rsid w:val="00A2487F"/>
    <w:rsid w:val="00A2495F"/>
    <w:rsid w:val="00A279C8"/>
    <w:rsid w:val="00A302F9"/>
    <w:rsid w:val="00A3140F"/>
    <w:rsid w:val="00A32EC4"/>
    <w:rsid w:val="00A3307B"/>
    <w:rsid w:val="00A35CE9"/>
    <w:rsid w:val="00A3660F"/>
    <w:rsid w:val="00A40C6A"/>
    <w:rsid w:val="00A43F7F"/>
    <w:rsid w:val="00A507D0"/>
    <w:rsid w:val="00A532FF"/>
    <w:rsid w:val="00A55244"/>
    <w:rsid w:val="00A56BFD"/>
    <w:rsid w:val="00A61555"/>
    <w:rsid w:val="00A66408"/>
    <w:rsid w:val="00A755CF"/>
    <w:rsid w:val="00A7677E"/>
    <w:rsid w:val="00A771F3"/>
    <w:rsid w:val="00A8109E"/>
    <w:rsid w:val="00A84F0D"/>
    <w:rsid w:val="00A97891"/>
    <w:rsid w:val="00AA43CA"/>
    <w:rsid w:val="00AA4EE6"/>
    <w:rsid w:val="00AA55DC"/>
    <w:rsid w:val="00AA6E86"/>
    <w:rsid w:val="00AB3A0A"/>
    <w:rsid w:val="00AB7249"/>
    <w:rsid w:val="00AC7055"/>
    <w:rsid w:val="00AC7EFE"/>
    <w:rsid w:val="00AD053D"/>
    <w:rsid w:val="00AD11DD"/>
    <w:rsid w:val="00AD2417"/>
    <w:rsid w:val="00AD447E"/>
    <w:rsid w:val="00AD4583"/>
    <w:rsid w:val="00AE1245"/>
    <w:rsid w:val="00AF1423"/>
    <w:rsid w:val="00AF1534"/>
    <w:rsid w:val="00AF378F"/>
    <w:rsid w:val="00AF7523"/>
    <w:rsid w:val="00B02F14"/>
    <w:rsid w:val="00B05CB9"/>
    <w:rsid w:val="00B10BCC"/>
    <w:rsid w:val="00B1155F"/>
    <w:rsid w:val="00B126BC"/>
    <w:rsid w:val="00B1354B"/>
    <w:rsid w:val="00B17E5B"/>
    <w:rsid w:val="00B249C4"/>
    <w:rsid w:val="00B265FB"/>
    <w:rsid w:val="00B30D95"/>
    <w:rsid w:val="00B429AD"/>
    <w:rsid w:val="00B45BC9"/>
    <w:rsid w:val="00B46C57"/>
    <w:rsid w:val="00B55BE4"/>
    <w:rsid w:val="00B64489"/>
    <w:rsid w:val="00B65C02"/>
    <w:rsid w:val="00B70523"/>
    <w:rsid w:val="00B72BE3"/>
    <w:rsid w:val="00B76C39"/>
    <w:rsid w:val="00B82710"/>
    <w:rsid w:val="00B82D07"/>
    <w:rsid w:val="00B91CF4"/>
    <w:rsid w:val="00B91E54"/>
    <w:rsid w:val="00B9609D"/>
    <w:rsid w:val="00BA4E84"/>
    <w:rsid w:val="00BA63CE"/>
    <w:rsid w:val="00BA68EE"/>
    <w:rsid w:val="00BA779B"/>
    <w:rsid w:val="00BB6A54"/>
    <w:rsid w:val="00BC2AB0"/>
    <w:rsid w:val="00BC6A6E"/>
    <w:rsid w:val="00BC6EB4"/>
    <w:rsid w:val="00BD5895"/>
    <w:rsid w:val="00BD6A07"/>
    <w:rsid w:val="00BD731A"/>
    <w:rsid w:val="00BE47E9"/>
    <w:rsid w:val="00BE4A07"/>
    <w:rsid w:val="00BF135B"/>
    <w:rsid w:val="00BF169D"/>
    <w:rsid w:val="00BF4F4C"/>
    <w:rsid w:val="00BF55C3"/>
    <w:rsid w:val="00BF567C"/>
    <w:rsid w:val="00BF7BEC"/>
    <w:rsid w:val="00C00D5F"/>
    <w:rsid w:val="00C02B48"/>
    <w:rsid w:val="00C06505"/>
    <w:rsid w:val="00C06D7B"/>
    <w:rsid w:val="00C128A5"/>
    <w:rsid w:val="00C138A0"/>
    <w:rsid w:val="00C1685B"/>
    <w:rsid w:val="00C21CF3"/>
    <w:rsid w:val="00C22F77"/>
    <w:rsid w:val="00C344F7"/>
    <w:rsid w:val="00C37084"/>
    <w:rsid w:val="00C37D38"/>
    <w:rsid w:val="00C54586"/>
    <w:rsid w:val="00C564B8"/>
    <w:rsid w:val="00C56993"/>
    <w:rsid w:val="00C5749F"/>
    <w:rsid w:val="00C62BA6"/>
    <w:rsid w:val="00C6454D"/>
    <w:rsid w:val="00C64938"/>
    <w:rsid w:val="00C70B26"/>
    <w:rsid w:val="00C81C41"/>
    <w:rsid w:val="00C8390A"/>
    <w:rsid w:val="00C841D4"/>
    <w:rsid w:val="00CA314C"/>
    <w:rsid w:val="00CB160D"/>
    <w:rsid w:val="00CB1771"/>
    <w:rsid w:val="00CB1913"/>
    <w:rsid w:val="00CB205B"/>
    <w:rsid w:val="00CB245D"/>
    <w:rsid w:val="00CB3522"/>
    <w:rsid w:val="00CB5ACE"/>
    <w:rsid w:val="00CB5E8A"/>
    <w:rsid w:val="00CB68DF"/>
    <w:rsid w:val="00CB7A18"/>
    <w:rsid w:val="00CC4AAC"/>
    <w:rsid w:val="00CD024A"/>
    <w:rsid w:val="00CD26D3"/>
    <w:rsid w:val="00CD4F32"/>
    <w:rsid w:val="00CD69E3"/>
    <w:rsid w:val="00CD6F58"/>
    <w:rsid w:val="00CE58B6"/>
    <w:rsid w:val="00CE609A"/>
    <w:rsid w:val="00CE6876"/>
    <w:rsid w:val="00CF1004"/>
    <w:rsid w:val="00D00E68"/>
    <w:rsid w:val="00D06FDB"/>
    <w:rsid w:val="00D100C8"/>
    <w:rsid w:val="00D14163"/>
    <w:rsid w:val="00D153F5"/>
    <w:rsid w:val="00D16A44"/>
    <w:rsid w:val="00D23F47"/>
    <w:rsid w:val="00D310DC"/>
    <w:rsid w:val="00D32EA2"/>
    <w:rsid w:val="00D33798"/>
    <w:rsid w:val="00D3501C"/>
    <w:rsid w:val="00D4264A"/>
    <w:rsid w:val="00D45702"/>
    <w:rsid w:val="00D5124E"/>
    <w:rsid w:val="00D517C7"/>
    <w:rsid w:val="00D53B0B"/>
    <w:rsid w:val="00D54CC6"/>
    <w:rsid w:val="00D54D3B"/>
    <w:rsid w:val="00D55278"/>
    <w:rsid w:val="00D568C9"/>
    <w:rsid w:val="00D63721"/>
    <w:rsid w:val="00D65EF7"/>
    <w:rsid w:val="00D72385"/>
    <w:rsid w:val="00D7620D"/>
    <w:rsid w:val="00DA104E"/>
    <w:rsid w:val="00DA1CF2"/>
    <w:rsid w:val="00DA229B"/>
    <w:rsid w:val="00DA45B5"/>
    <w:rsid w:val="00DA66FC"/>
    <w:rsid w:val="00DB0887"/>
    <w:rsid w:val="00DB62FC"/>
    <w:rsid w:val="00DC25CC"/>
    <w:rsid w:val="00DC2FDE"/>
    <w:rsid w:val="00DD4CF8"/>
    <w:rsid w:val="00DD5FDC"/>
    <w:rsid w:val="00DD6E37"/>
    <w:rsid w:val="00DF1498"/>
    <w:rsid w:val="00DF1975"/>
    <w:rsid w:val="00DF5CA7"/>
    <w:rsid w:val="00DF7038"/>
    <w:rsid w:val="00DF7130"/>
    <w:rsid w:val="00DF783F"/>
    <w:rsid w:val="00DF7E1C"/>
    <w:rsid w:val="00E02764"/>
    <w:rsid w:val="00E03030"/>
    <w:rsid w:val="00E03277"/>
    <w:rsid w:val="00E05B9C"/>
    <w:rsid w:val="00E07A36"/>
    <w:rsid w:val="00E11590"/>
    <w:rsid w:val="00E120EA"/>
    <w:rsid w:val="00E12C3E"/>
    <w:rsid w:val="00E1577C"/>
    <w:rsid w:val="00E15DA5"/>
    <w:rsid w:val="00E1639B"/>
    <w:rsid w:val="00E201A7"/>
    <w:rsid w:val="00E202AC"/>
    <w:rsid w:val="00E268B0"/>
    <w:rsid w:val="00E3527C"/>
    <w:rsid w:val="00E371A0"/>
    <w:rsid w:val="00E37EC0"/>
    <w:rsid w:val="00E429B5"/>
    <w:rsid w:val="00E44903"/>
    <w:rsid w:val="00E47F40"/>
    <w:rsid w:val="00E50A45"/>
    <w:rsid w:val="00E53DFA"/>
    <w:rsid w:val="00E54479"/>
    <w:rsid w:val="00E547C8"/>
    <w:rsid w:val="00E5718C"/>
    <w:rsid w:val="00E57E64"/>
    <w:rsid w:val="00E63EB3"/>
    <w:rsid w:val="00E648EB"/>
    <w:rsid w:val="00E737E5"/>
    <w:rsid w:val="00E73B2E"/>
    <w:rsid w:val="00E80685"/>
    <w:rsid w:val="00E8524B"/>
    <w:rsid w:val="00E90DA0"/>
    <w:rsid w:val="00E91FB6"/>
    <w:rsid w:val="00EA16E6"/>
    <w:rsid w:val="00EA4A65"/>
    <w:rsid w:val="00EA5F62"/>
    <w:rsid w:val="00EA61DF"/>
    <w:rsid w:val="00EB2002"/>
    <w:rsid w:val="00EB60B1"/>
    <w:rsid w:val="00EC0879"/>
    <w:rsid w:val="00EC1A1E"/>
    <w:rsid w:val="00EC4AF6"/>
    <w:rsid w:val="00ED116D"/>
    <w:rsid w:val="00ED2A49"/>
    <w:rsid w:val="00ED5F9A"/>
    <w:rsid w:val="00EE5616"/>
    <w:rsid w:val="00EF23D1"/>
    <w:rsid w:val="00F048F0"/>
    <w:rsid w:val="00F06C2A"/>
    <w:rsid w:val="00F06CBE"/>
    <w:rsid w:val="00F1289E"/>
    <w:rsid w:val="00F14562"/>
    <w:rsid w:val="00F226DE"/>
    <w:rsid w:val="00F2315A"/>
    <w:rsid w:val="00F24694"/>
    <w:rsid w:val="00F24C3D"/>
    <w:rsid w:val="00F25D0D"/>
    <w:rsid w:val="00F27A88"/>
    <w:rsid w:val="00F3168D"/>
    <w:rsid w:val="00F331CE"/>
    <w:rsid w:val="00F343C3"/>
    <w:rsid w:val="00F347B7"/>
    <w:rsid w:val="00F42C79"/>
    <w:rsid w:val="00F44B46"/>
    <w:rsid w:val="00F4592E"/>
    <w:rsid w:val="00F50E1F"/>
    <w:rsid w:val="00F56AAE"/>
    <w:rsid w:val="00F65A9F"/>
    <w:rsid w:val="00F66B0D"/>
    <w:rsid w:val="00F72022"/>
    <w:rsid w:val="00F72B61"/>
    <w:rsid w:val="00F743AD"/>
    <w:rsid w:val="00F7745C"/>
    <w:rsid w:val="00F777E9"/>
    <w:rsid w:val="00F83B41"/>
    <w:rsid w:val="00F85C81"/>
    <w:rsid w:val="00F9085C"/>
    <w:rsid w:val="00F91F1D"/>
    <w:rsid w:val="00F940AF"/>
    <w:rsid w:val="00F95865"/>
    <w:rsid w:val="00F97D17"/>
    <w:rsid w:val="00FA003A"/>
    <w:rsid w:val="00FA38CA"/>
    <w:rsid w:val="00FA45B8"/>
    <w:rsid w:val="00FA4DCA"/>
    <w:rsid w:val="00FC2EB9"/>
    <w:rsid w:val="00FC6925"/>
    <w:rsid w:val="00FC7248"/>
    <w:rsid w:val="00FD0B60"/>
    <w:rsid w:val="00FD4812"/>
    <w:rsid w:val="00FD4D5D"/>
    <w:rsid w:val="00FD4FA6"/>
    <w:rsid w:val="00FD5165"/>
    <w:rsid w:val="00FE2B4E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4BA13"/>
  <w15:chartTrackingRefBased/>
  <w15:docId w15:val="{2FD77B76-E4AA-4EBC-993B-6A0DF0D7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7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C67E8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2">
    <w:name w:val="heading 2"/>
    <w:basedOn w:val="Normal"/>
    <w:next w:val="Normal"/>
    <w:qFormat/>
    <w:rsid w:val="006C67E8"/>
    <w:pPr>
      <w:keepNext/>
      <w:ind w:firstLine="1170"/>
      <w:jc w:val="center"/>
      <w:outlineLvl w:val="1"/>
    </w:pPr>
    <w:rPr>
      <w:rFonts w:ascii="Arial" w:hAnsi="Arial"/>
      <w:b/>
      <w:noProof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19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67E8"/>
    <w:pPr>
      <w:keepNext/>
      <w:ind w:firstLine="1170"/>
      <w:jc w:val="center"/>
      <w:outlineLvl w:val="5"/>
    </w:pPr>
    <w:rPr>
      <w:rFonts w:ascii="Arial" w:hAnsi="Arial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67E8"/>
    <w:pPr>
      <w:ind w:firstLine="1170"/>
      <w:jc w:val="both"/>
    </w:pPr>
    <w:rPr>
      <w:rFonts w:ascii="Arial" w:hAnsi="Arial"/>
      <w:noProof/>
      <w:sz w:val="28"/>
      <w:szCs w:val="20"/>
    </w:rPr>
  </w:style>
  <w:style w:type="paragraph" w:styleId="BodyText">
    <w:name w:val="Body Text"/>
    <w:basedOn w:val="Normal"/>
    <w:rsid w:val="006C67E8"/>
    <w:pPr>
      <w:jc w:val="center"/>
    </w:pPr>
    <w:rPr>
      <w:b/>
      <w:szCs w:val="20"/>
    </w:rPr>
  </w:style>
  <w:style w:type="character" w:customStyle="1" w:styleId="tpa1">
    <w:name w:val="tpa1"/>
    <w:basedOn w:val="DefaultParagraphFont"/>
    <w:rsid w:val="006C67E8"/>
  </w:style>
  <w:style w:type="character" w:customStyle="1" w:styleId="tal1">
    <w:name w:val="tal1"/>
    <w:basedOn w:val="DefaultParagraphFont"/>
    <w:rsid w:val="006907A4"/>
  </w:style>
  <w:style w:type="paragraph" w:styleId="BalloonText">
    <w:name w:val="Balloon Text"/>
    <w:basedOn w:val="Normal"/>
    <w:semiHidden/>
    <w:rsid w:val="00EF23D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Indent"/>
    <w:rsid w:val="007A3629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7A3629"/>
    <w:pPr>
      <w:ind w:left="720"/>
    </w:pPr>
  </w:style>
  <w:style w:type="paragraph" w:customStyle="1" w:styleId="CharChar0">
    <w:name w:val="Char Char"/>
    <w:basedOn w:val="NormalIndent"/>
    <w:rsid w:val="007163E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do1">
    <w:name w:val="do1"/>
    <w:rsid w:val="008D444D"/>
    <w:rPr>
      <w:b/>
      <w:bCs/>
      <w:sz w:val="26"/>
      <w:szCs w:val="26"/>
    </w:rPr>
  </w:style>
  <w:style w:type="paragraph" w:customStyle="1" w:styleId="CharChar1">
    <w:name w:val="Char Char1"/>
    <w:basedOn w:val="NormalIndent"/>
    <w:rsid w:val="00466CD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rsid w:val="00CB5E8A"/>
    <w:pPr>
      <w:spacing w:after="120"/>
      <w:ind w:left="360"/>
    </w:pPr>
    <w:rPr>
      <w:sz w:val="16"/>
      <w:szCs w:val="16"/>
    </w:rPr>
  </w:style>
  <w:style w:type="paragraph" w:customStyle="1" w:styleId="CharCharCaracterCharCharCaracterCharCharCaracter">
    <w:name w:val="Char Char Caracter Char Char Caracter Char Char Caracter"/>
    <w:basedOn w:val="NormalIndent"/>
    <w:rsid w:val="00957FC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li1">
    <w:name w:val="tli1"/>
    <w:basedOn w:val="DefaultParagraphFont"/>
    <w:rsid w:val="00034B2B"/>
  </w:style>
  <w:style w:type="character" w:styleId="Hyperlink">
    <w:name w:val="Hyperlink"/>
    <w:uiPriority w:val="99"/>
    <w:rsid w:val="004A78D4"/>
    <w:rPr>
      <w:b/>
      <w:bCs/>
      <w:color w:val="333399"/>
      <w:u w:val="single"/>
    </w:rPr>
  </w:style>
  <w:style w:type="character" w:customStyle="1" w:styleId="preambul1">
    <w:name w:val="preambul1"/>
    <w:rsid w:val="000E5EAF"/>
    <w:rPr>
      <w:i/>
      <w:iCs/>
      <w:color w:val="000000"/>
    </w:rPr>
  </w:style>
  <w:style w:type="paragraph" w:customStyle="1" w:styleId="CharChar2">
    <w:name w:val="Char Char2"/>
    <w:basedOn w:val="NormalIndent"/>
    <w:rsid w:val="0011477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6360C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aracterCaracter3">
    <w:name w:val="Caracter Caracter3"/>
    <w:basedOn w:val="Normal"/>
    <w:rsid w:val="00B91E54"/>
    <w:rPr>
      <w:lang w:val="pl-PL" w:eastAsia="pl-PL"/>
    </w:rPr>
  </w:style>
  <w:style w:type="paragraph" w:customStyle="1" w:styleId="1">
    <w:name w:val="1"/>
    <w:basedOn w:val="NormalIndent"/>
    <w:rsid w:val="00DF197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pt1">
    <w:name w:val="tpt1"/>
    <w:rsid w:val="00191187"/>
    <w:rPr>
      <w:rFonts w:cs="Times New Roman"/>
    </w:rPr>
  </w:style>
  <w:style w:type="paragraph" w:styleId="Header">
    <w:name w:val="header"/>
    <w:basedOn w:val="Normal"/>
    <w:link w:val="HeaderChar"/>
    <w:rsid w:val="00DC25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25C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C25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5CC"/>
    <w:rPr>
      <w:sz w:val="24"/>
      <w:szCs w:val="24"/>
      <w:lang w:val="ro-RO" w:eastAsia="ro-RO"/>
    </w:rPr>
  </w:style>
  <w:style w:type="character" w:customStyle="1" w:styleId="ar1">
    <w:name w:val="ar1"/>
    <w:rsid w:val="00F72B61"/>
    <w:rPr>
      <w:b/>
      <w:bCs/>
      <w:color w:val="0000AF"/>
      <w:sz w:val="22"/>
      <w:szCs w:val="22"/>
    </w:rPr>
  </w:style>
  <w:style w:type="paragraph" w:customStyle="1" w:styleId="CharCharCaracterCharCharCaracterCharCharCaracter0">
    <w:name w:val="Char Char Caracter Char Char Caracter Char Char Caracter"/>
    <w:basedOn w:val="NormalIndent"/>
    <w:rsid w:val="0077097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FontStyle22">
    <w:name w:val="Font Style22"/>
    <w:rsid w:val="001911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Heading4Char">
    <w:name w:val="Heading 4 Char"/>
    <w:link w:val="Heading4"/>
    <w:semiHidden/>
    <w:rsid w:val="00CB1913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paragraph" w:customStyle="1" w:styleId="al">
    <w:name w:val="a_l"/>
    <w:basedOn w:val="Normal"/>
    <w:rsid w:val="00CB191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6FD1"/>
    <w:pPr>
      <w:ind w:left="720"/>
    </w:pPr>
  </w:style>
  <w:style w:type="paragraph" w:styleId="Revision">
    <w:name w:val="Revision"/>
    <w:hidden/>
    <w:uiPriority w:val="99"/>
    <w:semiHidden/>
    <w:rsid w:val="00C128A5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7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6870712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  <w:div w:id="554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305039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72141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D4A7-126D-43D7-99A3-20D1FCBF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Ministerul Transporturilor</cp:lastModifiedBy>
  <cp:revision>10</cp:revision>
  <cp:lastPrinted>2023-09-11T21:54:00Z</cp:lastPrinted>
  <dcterms:created xsi:type="dcterms:W3CDTF">2024-05-14T12:13:00Z</dcterms:created>
  <dcterms:modified xsi:type="dcterms:W3CDTF">2024-05-14T13:57:00Z</dcterms:modified>
</cp:coreProperties>
</file>