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023C8" w14:textId="77777777" w:rsidR="0080290B" w:rsidRPr="0061515C" w:rsidRDefault="003D2D10" w:rsidP="0080290B">
      <w:pPr>
        <w:pStyle w:val="Title"/>
        <w:rPr>
          <w:sz w:val="24"/>
          <w:szCs w:val="24"/>
        </w:rPr>
      </w:pPr>
      <w:bookmarkStart w:id="0" w:name="_GoBack"/>
      <w:bookmarkEnd w:id="0"/>
      <w:r w:rsidRPr="0061515C">
        <w:rPr>
          <w:sz w:val="24"/>
          <w:szCs w:val="24"/>
        </w:rPr>
        <w:t>NOTĂ DE FUNDAMENTARE</w:t>
      </w:r>
    </w:p>
    <w:p w14:paraId="1C396F6C" w14:textId="77777777" w:rsidR="0080290B" w:rsidRPr="0061515C" w:rsidRDefault="0080290B" w:rsidP="0080290B">
      <w:pPr>
        <w:pStyle w:val="Subtitle"/>
        <w:ind w:left="0"/>
        <w:rPr>
          <w:sz w:val="24"/>
        </w:rPr>
      </w:pPr>
    </w:p>
    <w:p w14:paraId="62744BD0" w14:textId="77777777" w:rsidR="008B3A1C" w:rsidRPr="0061515C" w:rsidRDefault="008B3A1C" w:rsidP="0080290B">
      <w:pPr>
        <w:pStyle w:val="Subtitle"/>
        <w:ind w:left="0"/>
        <w:rPr>
          <w:sz w:val="24"/>
        </w:rPr>
      </w:pPr>
    </w:p>
    <w:p w14:paraId="228D52A4" w14:textId="77777777" w:rsidR="0080290B" w:rsidRPr="0061515C" w:rsidRDefault="0080290B" w:rsidP="005911A0">
      <w:pPr>
        <w:numPr>
          <w:ilvl w:val="0"/>
          <w:numId w:val="36"/>
        </w:numPr>
        <w:jc w:val="center"/>
        <w:rPr>
          <w:b/>
        </w:rPr>
      </w:pPr>
      <w:r w:rsidRPr="0061515C">
        <w:rPr>
          <w:b/>
        </w:rPr>
        <w:t>Titlul proiectului de act normativ</w:t>
      </w:r>
    </w:p>
    <w:p w14:paraId="22A81C85" w14:textId="77777777" w:rsidR="00D37BB0" w:rsidRPr="0061515C" w:rsidRDefault="00D37BB0" w:rsidP="005F1B75">
      <w:pPr>
        <w:jc w:val="center"/>
      </w:pPr>
    </w:p>
    <w:p w14:paraId="265AE3F9" w14:textId="77777777" w:rsidR="00470E75" w:rsidRPr="0061515C" w:rsidRDefault="00470E75" w:rsidP="005F1B75">
      <w:pPr>
        <w:jc w:val="center"/>
      </w:pPr>
    </w:p>
    <w:tbl>
      <w:tblPr>
        <w:tblW w:w="974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3"/>
      </w:tblGrid>
      <w:tr w:rsidR="0080290B" w:rsidRPr="0061515C" w14:paraId="79479495" w14:textId="77777777" w:rsidTr="00F429AC">
        <w:trPr>
          <w:trHeight w:val="1041"/>
          <w:jc w:val="center"/>
        </w:trPr>
        <w:tc>
          <w:tcPr>
            <w:tcW w:w="9743" w:type="dxa"/>
            <w:tcBorders>
              <w:top w:val="single" w:sz="4" w:space="0" w:color="auto"/>
              <w:left w:val="single" w:sz="4" w:space="0" w:color="auto"/>
              <w:bottom w:val="single" w:sz="4" w:space="0" w:color="auto"/>
              <w:right w:val="single" w:sz="4" w:space="0" w:color="auto"/>
            </w:tcBorders>
          </w:tcPr>
          <w:p w14:paraId="07E89024" w14:textId="77777777" w:rsidR="007B1338" w:rsidRPr="0061515C" w:rsidRDefault="00080161" w:rsidP="002B19B6">
            <w:pPr>
              <w:spacing w:after="120"/>
              <w:jc w:val="center"/>
              <w:rPr>
                <w:b/>
              </w:rPr>
            </w:pPr>
            <w:r w:rsidRPr="0061515C">
              <w:rPr>
                <w:b/>
              </w:rPr>
              <w:t>ORDONANȚĂ DE URGENȚĂ</w:t>
            </w:r>
          </w:p>
          <w:p w14:paraId="7FEE6FE5" w14:textId="43E7DA59" w:rsidR="00C86AFE" w:rsidRPr="0061515C" w:rsidRDefault="003A4AE7" w:rsidP="003A4AE7">
            <w:pPr>
              <w:autoSpaceDE w:val="0"/>
              <w:autoSpaceDN w:val="0"/>
              <w:adjustRightInd w:val="0"/>
              <w:spacing w:line="276" w:lineRule="auto"/>
              <w:jc w:val="center"/>
              <w:rPr>
                <w:b/>
              </w:rPr>
            </w:pPr>
            <w:r w:rsidRPr="00A47629">
              <w:rPr>
                <w:b/>
                <w:iCs/>
                <w:color w:val="000000" w:themeColor="text1"/>
              </w:rPr>
              <w:t>pentru compensarea pierderilor suferite ca urmare a pandemiei COVID-19 de către Societatea Națională de Transport Feroviar de Călători „CFR Călători” – S.A</w:t>
            </w:r>
          </w:p>
        </w:tc>
      </w:tr>
    </w:tbl>
    <w:p w14:paraId="4A1C03A7" w14:textId="77777777" w:rsidR="0080290B" w:rsidRPr="0061515C" w:rsidRDefault="0080290B" w:rsidP="0080290B"/>
    <w:p w14:paraId="2FC4EA52" w14:textId="77777777" w:rsidR="001D7F95" w:rsidRPr="0061515C" w:rsidRDefault="001D7F95" w:rsidP="0080290B"/>
    <w:p w14:paraId="25CB0F30" w14:textId="081C37C3" w:rsidR="00D37BB0" w:rsidRPr="0061515C" w:rsidRDefault="0080290B" w:rsidP="00D37BB0">
      <w:pPr>
        <w:pStyle w:val="Heading8"/>
        <w:numPr>
          <w:ilvl w:val="0"/>
          <w:numId w:val="36"/>
        </w:numPr>
      </w:pPr>
      <w:r w:rsidRPr="0061515C">
        <w:t>Motivul emiterii actului normativ</w:t>
      </w:r>
    </w:p>
    <w:p w14:paraId="7A127D73" w14:textId="77777777" w:rsidR="00470E75" w:rsidRPr="0061515C" w:rsidRDefault="00470E75" w:rsidP="00D37BB0">
      <w:pPr>
        <w:rPr>
          <w:lang w:eastAsia="ro-RO"/>
        </w:rPr>
      </w:pPr>
    </w:p>
    <w:tbl>
      <w:tblPr>
        <w:tblW w:w="1008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4"/>
        <w:gridCol w:w="7936"/>
      </w:tblGrid>
      <w:tr w:rsidR="0080290B" w:rsidRPr="0061515C" w14:paraId="3504C933" w14:textId="77777777" w:rsidTr="00A30A73">
        <w:trPr>
          <w:trHeight w:val="619"/>
          <w:jc w:val="center"/>
        </w:trPr>
        <w:tc>
          <w:tcPr>
            <w:tcW w:w="2144" w:type="dxa"/>
            <w:tcBorders>
              <w:top w:val="single" w:sz="4" w:space="0" w:color="auto"/>
              <w:left w:val="single" w:sz="4" w:space="0" w:color="auto"/>
              <w:bottom w:val="single" w:sz="4" w:space="0" w:color="auto"/>
              <w:right w:val="single" w:sz="4" w:space="0" w:color="auto"/>
            </w:tcBorders>
          </w:tcPr>
          <w:p w14:paraId="32639CE3" w14:textId="77777777" w:rsidR="0080290B" w:rsidRPr="0061515C" w:rsidRDefault="004A4838" w:rsidP="00904D90">
            <w:pPr>
              <w:numPr>
                <w:ilvl w:val="0"/>
                <w:numId w:val="7"/>
              </w:numPr>
              <w:rPr>
                <w:bCs/>
              </w:rPr>
            </w:pPr>
            <w:r w:rsidRPr="0061515C">
              <w:rPr>
                <w:bCs/>
              </w:rPr>
              <w:t>Descrierea situaţiei a</w:t>
            </w:r>
            <w:r w:rsidR="0080290B" w:rsidRPr="0061515C">
              <w:rPr>
                <w:bCs/>
              </w:rPr>
              <w:t>ctuale</w:t>
            </w:r>
          </w:p>
        </w:tc>
        <w:tc>
          <w:tcPr>
            <w:tcW w:w="7936" w:type="dxa"/>
            <w:tcBorders>
              <w:top w:val="single" w:sz="4" w:space="0" w:color="auto"/>
              <w:left w:val="single" w:sz="4" w:space="0" w:color="auto"/>
              <w:bottom w:val="single" w:sz="4" w:space="0" w:color="auto"/>
              <w:right w:val="single" w:sz="4" w:space="0" w:color="auto"/>
            </w:tcBorders>
          </w:tcPr>
          <w:p w14:paraId="6AC6FB46" w14:textId="50AE8CA8" w:rsidR="0061515C" w:rsidRPr="0061515C" w:rsidRDefault="00662524" w:rsidP="0061515C">
            <w:pPr>
              <w:spacing w:line="294" w:lineRule="atLeast"/>
              <w:contextualSpacing/>
              <w:jc w:val="both"/>
              <w:rPr>
                <w:shd w:val="clear" w:color="auto" w:fill="FFFFFF"/>
              </w:rPr>
            </w:pPr>
            <w:r w:rsidRPr="0061515C">
              <w:rPr>
                <w:shd w:val="clear" w:color="auto" w:fill="FFFFFF"/>
              </w:rPr>
              <w:t xml:space="preserve"> </w:t>
            </w:r>
            <w:r w:rsidR="0061515C" w:rsidRPr="0061515C">
              <w:rPr>
                <w:shd w:val="clear" w:color="auto" w:fill="FFFFFF"/>
              </w:rPr>
              <w:t>Pandemia de COVID-19 a dus la adoptarea de restricții de călătorie și măsuri de izolare de către România, precum și alte state membre, conducând la o restricție severă a activităților de transport feroviar.</w:t>
            </w:r>
          </w:p>
          <w:p w14:paraId="6EA2ADFA" w14:textId="59843D56" w:rsidR="0061515C" w:rsidRPr="0061515C" w:rsidRDefault="0061515C" w:rsidP="0061515C">
            <w:pPr>
              <w:spacing w:line="294" w:lineRule="atLeast"/>
              <w:contextualSpacing/>
              <w:jc w:val="both"/>
              <w:rPr>
                <w:shd w:val="clear" w:color="auto" w:fill="FFFFFF"/>
              </w:rPr>
            </w:pPr>
            <w:r w:rsidRPr="0061515C">
              <w:rPr>
                <w:shd w:val="clear" w:color="auto" w:fill="FFFFFF"/>
              </w:rPr>
              <w:t>La 21 februarie 2020, în urma primelor cazuri de COVID-19 în Italia, guvernul român a anunțat o carantină de 14 zile pentru cetățenii care se întorc din regiunile italiene afectate. În zilele următoare, autoritățile române au extins cerințele de carantină pentru călătorii care călătoresc din alte țări cu risc ridicat (de exemplu, China, Coreea de Sud și Iran).</w:t>
            </w:r>
          </w:p>
          <w:p w14:paraId="71F95245" w14:textId="1F4FBA66" w:rsidR="0061515C" w:rsidRPr="0061515C" w:rsidRDefault="0061515C" w:rsidP="0061515C">
            <w:pPr>
              <w:spacing w:line="294" w:lineRule="atLeast"/>
              <w:contextualSpacing/>
              <w:jc w:val="both"/>
              <w:rPr>
                <w:shd w:val="clear" w:color="auto" w:fill="FFFFFF"/>
              </w:rPr>
            </w:pPr>
            <w:r w:rsidRPr="0061515C">
              <w:rPr>
                <w:shd w:val="clear" w:color="auto" w:fill="FFFFFF"/>
              </w:rPr>
              <w:t>La data de 9 martie 2020, C</w:t>
            </w:r>
            <w:r>
              <w:rPr>
                <w:shd w:val="clear" w:color="auto" w:fill="FFFFFF"/>
              </w:rPr>
              <w:t xml:space="preserve">omitetul Național pentru Situații de Urgență </w:t>
            </w:r>
            <w:r w:rsidRPr="0061515C">
              <w:rPr>
                <w:shd w:val="clear" w:color="auto" w:fill="FFFFFF"/>
              </w:rPr>
              <w:t>a decis închiderea tuturor școlilor, instituțiilor de zi și universităților din România, începând cu data de 11 martie. În urma prelungirilor succesive ale acestei măsuri, școlile au rămas închise până la vacanța de vară, care a început la 13 iunie 2020.</w:t>
            </w:r>
          </w:p>
          <w:p w14:paraId="04D6040D" w14:textId="5356EC4F" w:rsidR="0061515C" w:rsidRPr="0061515C" w:rsidRDefault="0061515C" w:rsidP="0061515C">
            <w:pPr>
              <w:spacing w:line="294" w:lineRule="atLeast"/>
              <w:contextualSpacing/>
              <w:jc w:val="both"/>
              <w:rPr>
                <w:shd w:val="clear" w:color="auto" w:fill="FFFFFF"/>
              </w:rPr>
            </w:pPr>
            <w:r w:rsidRPr="0061515C">
              <w:rPr>
                <w:shd w:val="clear" w:color="auto" w:fill="FFFFFF"/>
              </w:rPr>
              <w:t>La 16 martie 2020, România a declarat stare de urgență pentru o perioadă inițială de 30 de zile și ulterior a prelungit-o la 16 aprilie 2020 pentru încă o lună, în efortul de a controla pandemia.</w:t>
            </w:r>
          </w:p>
          <w:p w14:paraId="476825C4" w14:textId="48B48663" w:rsidR="0061515C" w:rsidRPr="0061515C" w:rsidRDefault="0061515C" w:rsidP="0061515C">
            <w:pPr>
              <w:spacing w:line="294" w:lineRule="atLeast"/>
              <w:contextualSpacing/>
              <w:jc w:val="both"/>
              <w:rPr>
                <w:shd w:val="clear" w:color="auto" w:fill="FFFFFF"/>
              </w:rPr>
            </w:pPr>
            <w:r w:rsidRPr="0061515C">
              <w:rPr>
                <w:shd w:val="clear" w:color="auto" w:fill="FFFFFF"/>
              </w:rPr>
              <w:t>În perioada stării de urgență, autoritățile române au adoptat diverse măsuri, în scopul prevenirii și limitării răspândirii COVID-19 pe teritoriul României.</w:t>
            </w:r>
          </w:p>
          <w:p w14:paraId="2769DA7D" w14:textId="484EAFAA" w:rsidR="0061515C" w:rsidRPr="0061515C" w:rsidRDefault="0061515C" w:rsidP="0061515C">
            <w:pPr>
              <w:spacing w:line="294" w:lineRule="atLeast"/>
              <w:contextualSpacing/>
              <w:jc w:val="both"/>
              <w:rPr>
                <w:rFonts w:eastAsia="Calibri"/>
              </w:rPr>
            </w:pPr>
            <w:r>
              <w:rPr>
                <w:rFonts w:eastAsia="Calibri"/>
              </w:rPr>
              <w:t xml:space="preserve">În </w:t>
            </w:r>
            <w:r w:rsidRPr="0061515C">
              <w:rPr>
                <w:rFonts w:eastAsia="Calibri"/>
              </w:rPr>
              <w:t>data de 19 martie 2020, Comisia Europeană a publicat Comunicarea Comisiei privind Cadrul Temporar, în cuprinsul căruia acordă îndrumări și abilitează Statele Membre astfel încât acestea să fie în măsură să adopte cele mai eficiente m</w:t>
            </w:r>
            <w:r>
              <w:rPr>
                <w:rFonts w:eastAsia="Calibri"/>
              </w:rPr>
              <w:t>ăsuri de sprijinire a economiei, în actualul context pademic</w:t>
            </w:r>
            <w:r w:rsidRPr="0061515C">
              <w:rPr>
                <w:rFonts w:eastAsia="Calibri"/>
              </w:rPr>
              <w:t xml:space="preserve"> </w:t>
            </w:r>
          </w:p>
          <w:p w14:paraId="483D04C2" w14:textId="359148AF" w:rsidR="0061515C" w:rsidRPr="0061515C" w:rsidRDefault="0061515C" w:rsidP="0061515C">
            <w:pPr>
              <w:spacing w:line="294" w:lineRule="atLeast"/>
              <w:contextualSpacing/>
              <w:jc w:val="both"/>
              <w:rPr>
                <w:rFonts w:eastAsia="Calibri"/>
              </w:rPr>
            </w:pPr>
            <w:r w:rsidRPr="0061515C">
              <w:rPr>
                <w:rFonts w:eastAsia="Calibri"/>
              </w:rPr>
              <w:t>Pandemia COVID-19 și restricțiile aferente au determinat o scădere semnificativă a cererii de transport feroviar în România. Efectele perturbatoare ale restricțiilor de călătorie au f</w:t>
            </w:r>
            <w:r w:rsidR="003A4AE7">
              <w:rPr>
                <w:rFonts w:eastAsia="Calibri"/>
              </w:rPr>
              <w:t xml:space="preserve">ost deosebit de acute </w:t>
            </w:r>
            <w:r w:rsidRPr="0061515C">
              <w:rPr>
                <w:rFonts w:eastAsia="Calibri"/>
              </w:rPr>
              <w:t>în perioada ianuarie-august 2020, comparativ cu aceeași perioadă din 2019.</w:t>
            </w:r>
          </w:p>
          <w:p w14:paraId="224F3D67" w14:textId="7137FE7A" w:rsidR="00662524" w:rsidRPr="003A4AE7" w:rsidRDefault="003A4AE7" w:rsidP="003A4AE7">
            <w:pPr>
              <w:spacing w:line="294" w:lineRule="atLeast"/>
              <w:contextualSpacing/>
              <w:jc w:val="both"/>
              <w:rPr>
                <w:rFonts w:eastAsia="Calibri"/>
              </w:rPr>
            </w:pPr>
            <w:r>
              <w:rPr>
                <w:rFonts w:eastAsia="Calibri"/>
              </w:rPr>
              <w:t>C</w:t>
            </w:r>
            <w:r w:rsidR="0061515C" w:rsidRPr="0061515C">
              <w:rPr>
                <w:rFonts w:eastAsia="Calibri"/>
              </w:rPr>
              <w:t xml:space="preserve">FR Calatori este un operator de serviciu public care </w:t>
            </w:r>
            <w:r w:rsidRPr="0061515C">
              <w:rPr>
                <w:rFonts w:eastAsia="Calibri"/>
              </w:rPr>
              <w:t>prestează</w:t>
            </w:r>
            <w:r w:rsidR="0061515C" w:rsidRPr="0061515C">
              <w:rPr>
                <w:rFonts w:eastAsia="Calibri"/>
              </w:rPr>
              <w:t xml:space="preserve"> servicii de transport feroviar de pasageri in baza unui contract de servicii publice (denumitul „contract de servicii publice”). CFR Călători operează zilnic în medie 1000 de trenuri regionale și interregionale pe 375 de rute, în conformitate cu obligațiile care îi revin prin contractul de servicii publice.</w:t>
            </w:r>
            <w:r>
              <w:rPr>
                <w:rFonts w:eastAsia="Calibri"/>
              </w:rPr>
              <w:t xml:space="preserve"> P</w:t>
            </w:r>
            <w:r w:rsidR="0061515C" w:rsidRPr="0061515C">
              <w:rPr>
                <w:rFonts w:eastAsia="Calibri"/>
              </w:rPr>
              <w:t xml:space="preserve">e lângă prestarea de servicii regulate de transport persoane în cadrul contractului de serviciu public, CFR Călători asigură și transportul personalului militar. Pentru a-și îndeplini obligațiile de serviciu public și pentru a asigura mobilitatea populației din România, inclusiv a persoanelor care îndeplinesc funcții critice (de exemplu, cadrele medicale) dar și pentru a asigura mobilitatea personalului militar, CFR Călători a continuat să deservească pe perioada Perioadei de Compensare </w:t>
            </w:r>
            <w:r w:rsidR="0061515C" w:rsidRPr="0061515C">
              <w:rPr>
                <w:rFonts w:eastAsia="Calibri"/>
              </w:rPr>
              <w:lastRenderedPageBreak/>
              <w:t>majoritatea rutelor pe care le-ar fi servit în absența pandemiei, făcând acest lucru pe baza programului prognozat înainte de pandemie pentru 2020.</w:t>
            </w:r>
          </w:p>
          <w:p w14:paraId="54133B29" w14:textId="2085E0E8" w:rsidR="0061515C" w:rsidRPr="0061515C" w:rsidRDefault="003A4AE7" w:rsidP="003A4AE7">
            <w:pPr>
              <w:tabs>
                <w:tab w:val="left" w:pos="1620"/>
              </w:tabs>
              <w:spacing w:line="294" w:lineRule="atLeast"/>
              <w:ind w:right="170"/>
              <w:jc w:val="both"/>
              <w:rPr>
                <w:rFonts w:eastAsia="Calibri"/>
              </w:rPr>
            </w:pPr>
            <w:bookmarkStart w:id="1" w:name="_Hlk67573811"/>
            <w:r>
              <w:rPr>
                <w:rFonts w:eastAsia="Calibri"/>
              </w:rPr>
              <w:t>În conformitate cu documentația întocmită pentru acordarea a</w:t>
            </w:r>
            <w:r w:rsidR="0061515C" w:rsidRPr="0061515C">
              <w:rPr>
                <w:rFonts w:eastAsia="Calibri"/>
              </w:rPr>
              <w:t xml:space="preserve">jutorul de stat </w:t>
            </w:r>
            <w:r>
              <w:rPr>
                <w:rFonts w:eastAsia="Calibri"/>
              </w:rPr>
              <w:t xml:space="preserve">individual </w:t>
            </w:r>
            <w:r w:rsidR="0061515C" w:rsidRPr="0061515C">
              <w:rPr>
                <w:rFonts w:eastAsia="Calibri"/>
              </w:rPr>
              <w:t xml:space="preserve">pentru acoperirea pierderilor generate de măsurile impuse pentru prevenirea răspândirii coronavirusului SARS-CoV-2, </w:t>
            </w:r>
            <w:r>
              <w:rPr>
                <w:rFonts w:eastAsia="Calibri"/>
              </w:rPr>
              <w:t>măsura trebuie instituită</w:t>
            </w:r>
            <w:r w:rsidR="0061515C" w:rsidRPr="0061515C">
              <w:rPr>
                <w:rFonts w:eastAsia="Calibri"/>
              </w:rPr>
              <w:t xml:space="preserve"> prin Ordonanță de urgentă a Guvernului, act normativ care va fi emis după autorizarea ajutorului de către Comisia Europeană. </w:t>
            </w:r>
            <w:bookmarkEnd w:id="1"/>
          </w:p>
          <w:p w14:paraId="383A70C3" w14:textId="3EEEB0DA" w:rsidR="00F345D8" w:rsidRPr="0061515C" w:rsidRDefault="003A4AE7" w:rsidP="003A4AE7">
            <w:pPr>
              <w:tabs>
                <w:tab w:val="left" w:pos="1620"/>
              </w:tabs>
              <w:spacing w:line="294" w:lineRule="atLeast"/>
              <w:ind w:right="170"/>
              <w:rPr>
                <w:shd w:val="clear" w:color="auto" w:fill="FFFFFF"/>
              </w:rPr>
            </w:pPr>
            <w:r>
              <w:rPr>
                <w:rFonts w:eastAsia="Calibri"/>
              </w:rPr>
              <w:t>Prezenta Ordonanță de Urgență a fost notificată Comisiei Europene, ca parte a documentație transmise pentru autorizarea ajutorului de stat individual.</w:t>
            </w:r>
          </w:p>
        </w:tc>
      </w:tr>
      <w:tr w:rsidR="0080290B" w:rsidRPr="0061515C" w14:paraId="62BB9BFD" w14:textId="77777777" w:rsidTr="006C0FB9">
        <w:trPr>
          <w:trHeight w:val="4462"/>
          <w:jc w:val="center"/>
        </w:trPr>
        <w:tc>
          <w:tcPr>
            <w:tcW w:w="2144" w:type="dxa"/>
            <w:tcBorders>
              <w:top w:val="single" w:sz="4" w:space="0" w:color="auto"/>
              <w:left w:val="single" w:sz="4" w:space="0" w:color="auto"/>
              <w:bottom w:val="single" w:sz="4" w:space="0" w:color="auto"/>
              <w:right w:val="single" w:sz="4" w:space="0" w:color="auto"/>
            </w:tcBorders>
          </w:tcPr>
          <w:p w14:paraId="13A773A2" w14:textId="50C7C391" w:rsidR="0080290B" w:rsidRPr="0061515C" w:rsidRDefault="0080290B" w:rsidP="00005118">
            <w:pPr>
              <w:spacing w:line="276" w:lineRule="auto"/>
              <w:jc w:val="both"/>
            </w:pPr>
            <w:r w:rsidRPr="0061515C">
              <w:rPr>
                <w:rStyle w:val="punct1"/>
                <w:color w:val="auto"/>
              </w:rPr>
              <w:lastRenderedPageBreak/>
              <w:t> </w:t>
            </w:r>
            <w:r w:rsidRPr="0061515C">
              <w:rPr>
                <w:rStyle w:val="punct1"/>
                <w:b w:val="0"/>
                <w:color w:val="auto"/>
              </w:rPr>
              <w:t>1</w:t>
            </w:r>
            <w:r w:rsidR="008029B3" w:rsidRPr="0061515C">
              <w:rPr>
                <w:rStyle w:val="punct1"/>
                <w:b w:val="0"/>
                <w:color w:val="auto"/>
                <w:vertAlign w:val="superscript"/>
              </w:rPr>
              <w:t>1</w:t>
            </w:r>
            <w:r w:rsidRPr="0061515C">
              <w:rPr>
                <w:rStyle w:val="punct1"/>
                <w:b w:val="0"/>
                <w:color w:val="auto"/>
              </w:rPr>
              <w:t>.</w:t>
            </w:r>
            <w:r w:rsidR="005155D3" w:rsidRPr="0061515C">
              <w:t xml:space="preserve"> </w:t>
            </w:r>
            <w:r w:rsidR="00882552" w:rsidRPr="0061515C">
              <w:t>Î</w:t>
            </w:r>
            <w:r w:rsidRPr="0061515C">
              <w:t>n cazul proiectelor de acte normative care transpun legislaţie comunitară sau creează cadrul pentru aplicarea directă a acesteia, se vor specifica doar actele comunitare în cauză, însoţite de elementele de identificare ale acestora</w:t>
            </w:r>
          </w:p>
          <w:p w14:paraId="1A0BD9FB" w14:textId="77777777" w:rsidR="00CF55CC" w:rsidRPr="0061515C" w:rsidRDefault="00CF55CC" w:rsidP="00B85E66">
            <w:pPr>
              <w:jc w:val="both"/>
            </w:pPr>
          </w:p>
        </w:tc>
        <w:tc>
          <w:tcPr>
            <w:tcW w:w="7936" w:type="dxa"/>
            <w:tcBorders>
              <w:top w:val="single" w:sz="4" w:space="0" w:color="auto"/>
              <w:left w:val="single" w:sz="4" w:space="0" w:color="auto"/>
              <w:bottom w:val="single" w:sz="4" w:space="0" w:color="auto"/>
              <w:right w:val="single" w:sz="4" w:space="0" w:color="auto"/>
            </w:tcBorders>
          </w:tcPr>
          <w:p w14:paraId="0D22C174" w14:textId="77777777" w:rsidR="00420A3C" w:rsidRPr="0061515C" w:rsidRDefault="00420A3C" w:rsidP="00755FA0">
            <w:pPr>
              <w:ind w:firstLine="34"/>
              <w:jc w:val="both"/>
              <w:rPr>
                <w:b/>
                <w:bCs/>
              </w:rPr>
            </w:pPr>
          </w:p>
          <w:p w14:paraId="0CC0B4F4" w14:textId="77777777" w:rsidR="0080290B" w:rsidRPr="0061515C" w:rsidRDefault="0080290B" w:rsidP="00654D7C">
            <w:pPr>
              <w:spacing w:line="276" w:lineRule="auto"/>
              <w:jc w:val="both"/>
              <w:rPr>
                <w:bCs/>
                <w:i/>
              </w:rPr>
            </w:pPr>
          </w:p>
          <w:p w14:paraId="57EAB8AD" w14:textId="77777777" w:rsidR="0080290B" w:rsidRPr="0061515C" w:rsidRDefault="0080290B" w:rsidP="00654D7C">
            <w:pPr>
              <w:pStyle w:val="BodyText"/>
              <w:spacing w:after="0" w:line="276" w:lineRule="auto"/>
            </w:pPr>
          </w:p>
        </w:tc>
      </w:tr>
      <w:tr w:rsidR="0080290B" w:rsidRPr="0061515C" w14:paraId="3CCE20F6" w14:textId="77777777" w:rsidTr="00BA47CE">
        <w:trPr>
          <w:trHeight w:val="143"/>
          <w:jc w:val="center"/>
        </w:trPr>
        <w:tc>
          <w:tcPr>
            <w:tcW w:w="2144" w:type="dxa"/>
            <w:tcBorders>
              <w:top w:val="single" w:sz="4" w:space="0" w:color="auto"/>
              <w:left w:val="single" w:sz="4" w:space="0" w:color="auto"/>
              <w:bottom w:val="single" w:sz="4" w:space="0" w:color="auto"/>
              <w:right w:val="single" w:sz="4" w:space="0" w:color="auto"/>
            </w:tcBorders>
          </w:tcPr>
          <w:p w14:paraId="525C1C44" w14:textId="77777777" w:rsidR="0080290B" w:rsidRPr="0061515C" w:rsidRDefault="0080290B" w:rsidP="00904D90">
            <w:pPr>
              <w:numPr>
                <w:ilvl w:val="0"/>
                <w:numId w:val="7"/>
              </w:numPr>
              <w:rPr>
                <w:bCs/>
              </w:rPr>
            </w:pPr>
            <w:r w:rsidRPr="0061515C">
              <w:rPr>
                <w:bCs/>
              </w:rPr>
              <w:t>Schimbări preconizate</w:t>
            </w:r>
          </w:p>
        </w:tc>
        <w:tc>
          <w:tcPr>
            <w:tcW w:w="7936" w:type="dxa"/>
            <w:tcBorders>
              <w:top w:val="single" w:sz="4" w:space="0" w:color="auto"/>
              <w:left w:val="single" w:sz="4" w:space="0" w:color="auto"/>
              <w:bottom w:val="single" w:sz="4" w:space="0" w:color="auto"/>
              <w:right w:val="single" w:sz="4" w:space="0" w:color="auto"/>
            </w:tcBorders>
          </w:tcPr>
          <w:p w14:paraId="0F3113C4" w14:textId="3ED63990" w:rsidR="0061515C" w:rsidRPr="0061515C" w:rsidRDefault="0061515C" w:rsidP="0061515C">
            <w:pPr>
              <w:spacing w:line="294" w:lineRule="atLeast"/>
              <w:ind w:right="136"/>
              <w:jc w:val="both"/>
              <w:rPr>
                <w:rFonts w:eastAsia="Calibri"/>
              </w:rPr>
            </w:pPr>
            <w:r w:rsidRPr="0061515C">
              <w:rPr>
                <w:rFonts w:eastAsia="Calibri"/>
              </w:rPr>
              <w:t xml:space="preserve">Ajutorul de stat care va fi acordat este de </w:t>
            </w:r>
            <w:r w:rsidR="00EA460F" w:rsidRPr="00EA460F">
              <w:rPr>
                <w:rFonts w:eastAsia="Calibri"/>
              </w:rPr>
              <w:t xml:space="preserve">210.346 mii lei </w:t>
            </w:r>
            <w:r w:rsidRPr="0061515C">
              <w:rPr>
                <w:rFonts w:eastAsia="Calibri"/>
              </w:rPr>
              <w:t>(reprezentând echivalentul a 43,63 milioane euro) și va fi utilizat pentru finanțarea rezultatului negativ din activitatea de exploatare, estimat pentru perioada 16.03.2020</w:t>
            </w:r>
            <w:r w:rsidR="003A4AE7">
              <w:rPr>
                <w:rFonts w:eastAsia="Calibri"/>
              </w:rPr>
              <w:t xml:space="preserve"> - 31.12.2020, astfel cum a fost autorizat prin Decizia </w:t>
            </w:r>
            <w:r w:rsidR="003A4AE7" w:rsidRPr="003A4AE7">
              <w:rPr>
                <w:rFonts w:eastAsia="Calibri"/>
              </w:rPr>
              <w:t>C(2022) 759 final</w:t>
            </w:r>
            <w:r w:rsidR="003A4AE7">
              <w:rPr>
                <w:rFonts w:eastAsia="Calibri"/>
              </w:rPr>
              <w:t>.</w:t>
            </w:r>
            <w:r w:rsidRPr="0061515C">
              <w:rPr>
                <w:rFonts w:eastAsia="Calibri"/>
              </w:rPr>
              <w:t xml:space="preserve"> </w:t>
            </w:r>
            <w:bookmarkStart w:id="2" w:name="_Hlk67573932"/>
            <w:r w:rsidRPr="0061515C">
              <w:rPr>
                <w:rFonts w:eastAsia="Calibri"/>
              </w:rPr>
              <w:t xml:space="preserve">În ceea ce privește perioada în care se vor efectua plățile ajutorului de stat, acestea se </w:t>
            </w:r>
            <w:bookmarkEnd w:id="2"/>
            <w:r w:rsidRPr="0061515C">
              <w:rPr>
                <w:rFonts w:eastAsia="Calibri"/>
              </w:rPr>
              <w:t>vor efectua până la 30.06.2022</w:t>
            </w:r>
            <w:r w:rsidR="00EA460F">
              <w:rPr>
                <w:rFonts w:eastAsia="Calibri"/>
              </w:rPr>
              <w:t xml:space="preserve">. Suma necesară plății ajutorului de stat individual este prevăzută în bugetul Ministerului Transporturilor și Infrastructurii, aprobat prin Legea 317/2021. </w:t>
            </w:r>
          </w:p>
          <w:p w14:paraId="167C9EE4" w14:textId="77777777" w:rsidR="005E15A3" w:rsidRDefault="0061515C" w:rsidP="003A4AE7">
            <w:pPr>
              <w:spacing w:line="294" w:lineRule="atLeast"/>
              <w:ind w:right="136"/>
              <w:jc w:val="both"/>
              <w:rPr>
                <w:rFonts w:eastAsia="Calibri"/>
              </w:rPr>
            </w:pPr>
            <w:r w:rsidRPr="0061515C">
              <w:rPr>
                <w:rFonts w:eastAsia="Calibri"/>
              </w:rPr>
              <w:t>Măsura, autorizată de Comisia Europeană, de acordarea unui ajutor de stat Societății Societatea Naţională de Transport Feroviar de Călători „CFR Călători” S.A. pentru acoperirea pierderilor generate de măsurile impuse pentru limitarea răspândirii coronavirusului SARS-CoV-2, pentru perioada 16.03.2020-31.12.2020, va asigura funcționarea Societății Naţionale de Transport Feroviar de Călători „CFR Călători” – S.A., cu menținerea standardelor de securitate și siguranță în vigoare, în condițiile unui program de operare afectat de pandemie.</w:t>
            </w:r>
          </w:p>
          <w:p w14:paraId="53A35A5A" w14:textId="584C7E80" w:rsidR="00EA460F" w:rsidRPr="003A4AE7" w:rsidRDefault="00EA460F" w:rsidP="003A4AE7">
            <w:pPr>
              <w:spacing w:line="294" w:lineRule="atLeast"/>
              <w:ind w:right="136"/>
              <w:jc w:val="both"/>
              <w:rPr>
                <w:rFonts w:eastAsia="Calibri"/>
              </w:rPr>
            </w:pPr>
          </w:p>
        </w:tc>
      </w:tr>
    </w:tbl>
    <w:p w14:paraId="4AD35748" w14:textId="68CFF03D" w:rsidR="00CF55CC" w:rsidRPr="0061515C" w:rsidRDefault="00CF55CC" w:rsidP="0080290B"/>
    <w:p w14:paraId="28C83DCC" w14:textId="77777777" w:rsidR="00480F6F" w:rsidRPr="0061515C" w:rsidRDefault="0080290B" w:rsidP="00480F6F">
      <w:pPr>
        <w:pStyle w:val="Heading8"/>
        <w:numPr>
          <w:ilvl w:val="0"/>
          <w:numId w:val="7"/>
        </w:numPr>
      </w:pPr>
      <w:r w:rsidRPr="0061515C">
        <w:t>Impactul socio-economic al proiectului de act normativ</w:t>
      </w:r>
    </w:p>
    <w:p w14:paraId="24F79061" w14:textId="77777777" w:rsidR="00005118" w:rsidRPr="0061515C" w:rsidRDefault="00005118" w:rsidP="00005118">
      <w:pPr>
        <w:rPr>
          <w:lang w:eastAsia="ro-RO"/>
        </w:rPr>
      </w:pPr>
    </w:p>
    <w:tbl>
      <w:tblPr>
        <w:tblW w:w="976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36"/>
        <w:gridCol w:w="5829"/>
      </w:tblGrid>
      <w:tr w:rsidR="0080290B" w:rsidRPr="0061515C" w14:paraId="5A7ADFFA" w14:textId="77777777" w:rsidTr="006C50F6">
        <w:trPr>
          <w:trHeight w:val="349"/>
          <w:jc w:val="center"/>
        </w:trPr>
        <w:tc>
          <w:tcPr>
            <w:tcW w:w="3936" w:type="dxa"/>
            <w:tcBorders>
              <w:top w:val="single" w:sz="4" w:space="0" w:color="auto"/>
              <w:left w:val="single" w:sz="4" w:space="0" w:color="auto"/>
              <w:bottom w:val="single" w:sz="4" w:space="0" w:color="auto"/>
              <w:right w:val="single" w:sz="4" w:space="0" w:color="auto"/>
            </w:tcBorders>
          </w:tcPr>
          <w:p w14:paraId="486AA7D6" w14:textId="77777777" w:rsidR="0080290B" w:rsidRPr="0061515C" w:rsidRDefault="0080290B" w:rsidP="00904D90">
            <w:pPr>
              <w:rPr>
                <w:bCs/>
              </w:rPr>
            </w:pPr>
            <w:r w:rsidRPr="0061515C">
              <w:rPr>
                <w:bCs/>
              </w:rPr>
              <w:t>1. Impactul macro</w:t>
            </w:r>
            <w:r w:rsidR="004A4838" w:rsidRPr="0061515C">
              <w:rPr>
                <w:bCs/>
              </w:rPr>
              <w:t>-</w:t>
            </w:r>
            <w:r w:rsidRPr="0061515C">
              <w:rPr>
                <w:bCs/>
              </w:rPr>
              <w:t>economic</w:t>
            </w:r>
          </w:p>
        </w:tc>
        <w:tc>
          <w:tcPr>
            <w:tcW w:w="5829" w:type="dxa"/>
            <w:tcBorders>
              <w:top w:val="single" w:sz="4" w:space="0" w:color="auto"/>
              <w:left w:val="single" w:sz="4" w:space="0" w:color="auto"/>
              <w:bottom w:val="single" w:sz="4" w:space="0" w:color="auto"/>
              <w:right w:val="single" w:sz="4" w:space="0" w:color="auto"/>
            </w:tcBorders>
          </w:tcPr>
          <w:p w14:paraId="3EB5AB56" w14:textId="77777777" w:rsidR="00D37BB0" w:rsidRPr="0061515C" w:rsidRDefault="00884474" w:rsidP="00904D90">
            <w:pPr>
              <w:rPr>
                <w:bCs/>
                <w:i/>
              </w:rPr>
            </w:pPr>
            <w:r w:rsidRPr="0061515C">
              <w:rPr>
                <w:bCs/>
                <w:i/>
              </w:rPr>
              <w:t>Nu este cazul.</w:t>
            </w:r>
          </w:p>
        </w:tc>
      </w:tr>
      <w:tr w:rsidR="0080290B" w:rsidRPr="0061515C" w14:paraId="23533A8E" w14:textId="77777777" w:rsidTr="001260A0">
        <w:trPr>
          <w:trHeight w:val="736"/>
          <w:jc w:val="center"/>
        </w:trPr>
        <w:tc>
          <w:tcPr>
            <w:tcW w:w="3936" w:type="dxa"/>
            <w:tcBorders>
              <w:top w:val="single" w:sz="4" w:space="0" w:color="auto"/>
              <w:left w:val="single" w:sz="4" w:space="0" w:color="auto"/>
              <w:bottom w:val="single" w:sz="4" w:space="0" w:color="auto"/>
              <w:right w:val="single" w:sz="4" w:space="0" w:color="auto"/>
            </w:tcBorders>
          </w:tcPr>
          <w:p w14:paraId="36EF5C94" w14:textId="77777777" w:rsidR="0080290B" w:rsidRPr="0061515C" w:rsidRDefault="0080290B" w:rsidP="00904D90">
            <w:pPr>
              <w:rPr>
                <w:bCs/>
              </w:rPr>
            </w:pPr>
            <w:r w:rsidRPr="0061515C">
              <w:rPr>
                <w:rStyle w:val="punct1"/>
                <w:b w:val="0"/>
                <w:color w:val="auto"/>
              </w:rPr>
              <w:t>1</w:t>
            </w:r>
            <w:r w:rsidRPr="0061515C">
              <w:rPr>
                <w:rStyle w:val="punct1"/>
                <w:b w:val="0"/>
                <w:color w:val="auto"/>
                <w:vertAlign w:val="superscript"/>
              </w:rPr>
              <w:t>1</w:t>
            </w:r>
            <w:r w:rsidRPr="0061515C">
              <w:rPr>
                <w:rStyle w:val="punct1"/>
                <w:b w:val="0"/>
                <w:color w:val="auto"/>
              </w:rPr>
              <w:t>. Impactul asupra mediului</w:t>
            </w:r>
            <w:r w:rsidR="004A4838" w:rsidRPr="0061515C">
              <w:rPr>
                <w:rStyle w:val="punct1"/>
                <w:b w:val="0"/>
                <w:color w:val="auto"/>
              </w:rPr>
              <w:t xml:space="preserve"> c</w:t>
            </w:r>
            <w:r w:rsidRPr="0061515C">
              <w:rPr>
                <w:rStyle w:val="punct1"/>
                <w:b w:val="0"/>
                <w:color w:val="auto"/>
              </w:rPr>
              <w:t>oncurenţial şi domeniului ajutoarelor de stat</w:t>
            </w:r>
          </w:p>
        </w:tc>
        <w:tc>
          <w:tcPr>
            <w:tcW w:w="5829" w:type="dxa"/>
            <w:tcBorders>
              <w:top w:val="single" w:sz="4" w:space="0" w:color="auto"/>
              <w:left w:val="single" w:sz="4" w:space="0" w:color="auto"/>
              <w:bottom w:val="single" w:sz="4" w:space="0" w:color="auto"/>
              <w:right w:val="single" w:sz="4" w:space="0" w:color="auto"/>
            </w:tcBorders>
          </w:tcPr>
          <w:p w14:paraId="17BF5CAE" w14:textId="77777777" w:rsidR="0080290B" w:rsidRPr="0061515C" w:rsidRDefault="00884474" w:rsidP="00904D90">
            <w:pPr>
              <w:rPr>
                <w:bCs/>
                <w:i/>
              </w:rPr>
            </w:pPr>
            <w:r w:rsidRPr="0061515C">
              <w:rPr>
                <w:bCs/>
                <w:i/>
              </w:rPr>
              <w:t>Nu este cazul.</w:t>
            </w:r>
          </w:p>
        </w:tc>
      </w:tr>
      <w:tr w:rsidR="0080290B" w:rsidRPr="0061515C" w14:paraId="67C39E53" w14:textId="77777777" w:rsidTr="001260A0">
        <w:trPr>
          <w:trHeight w:val="530"/>
          <w:jc w:val="center"/>
        </w:trPr>
        <w:tc>
          <w:tcPr>
            <w:tcW w:w="3936" w:type="dxa"/>
            <w:tcBorders>
              <w:top w:val="single" w:sz="4" w:space="0" w:color="auto"/>
              <w:left w:val="single" w:sz="4" w:space="0" w:color="auto"/>
              <w:bottom w:val="single" w:sz="4" w:space="0" w:color="auto"/>
              <w:right w:val="single" w:sz="4" w:space="0" w:color="auto"/>
            </w:tcBorders>
          </w:tcPr>
          <w:p w14:paraId="4AFA2E08" w14:textId="77777777" w:rsidR="0080290B" w:rsidRPr="0061515C" w:rsidRDefault="0080290B" w:rsidP="00904D90">
            <w:pPr>
              <w:rPr>
                <w:bCs/>
              </w:rPr>
            </w:pPr>
            <w:r w:rsidRPr="0061515C">
              <w:rPr>
                <w:bCs/>
              </w:rPr>
              <w:lastRenderedPageBreak/>
              <w:t>2. Impactul asupra mediului de afaceri</w:t>
            </w:r>
          </w:p>
        </w:tc>
        <w:tc>
          <w:tcPr>
            <w:tcW w:w="5829" w:type="dxa"/>
            <w:tcBorders>
              <w:top w:val="single" w:sz="4" w:space="0" w:color="auto"/>
              <w:left w:val="single" w:sz="4" w:space="0" w:color="auto"/>
              <w:bottom w:val="single" w:sz="4" w:space="0" w:color="auto"/>
              <w:right w:val="single" w:sz="4" w:space="0" w:color="auto"/>
            </w:tcBorders>
          </w:tcPr>
          <w:p w14:paraId="7AC4B794" w14:textId="77777777" w:rsidR="00D37BB0" w:rsidRPr="0061515C" w:rsidRDefault="00884474" w:rsidP="00904D90">
            <w:pPr>
              <w:rPr>
                <w:bCs/>
                <w:i/>
              </w:rPr>
            </w:pPr>
            <w:r w:rsidRPr="0061515C">
              <w:rPr>
                <w:bCs/>
                <w:i/>
              </w:rPr>
              <w:t>Nu este cazul.</w:t>
            </w:r>
          </w:p>
        </w:tc>
      </w:tr>
      <w:tr w:rsidR="00A04166" w:rsidRPr="0061515C" w14:paraId="375B358B" w14:textId="77777777" w:rsidTr="001260A0">
        <w:trPr>
          <w:trHeight w:val="529"/>
          <w:jc w:val="center"/>
        </w:trPr>
        <w:tc>
          <w:tcPr>
            <w:tcW w:w="3936" w:type="dxa"/>
            <w:tcBorders>
              <w:top w:val="single" w:sz="4" w:space="0" w:color="auto"/>
              <w:left w:val="single" w:sz="4" w:space="0" w:color="auto"/>
              <w:bottom w:val="single" w:sz="4" w:space="0" w:color="auto"/>
              <w:right w:val="single" w:sz="4" w:space="0" w:color="auto"/>
            </w:tcBorders>
          </w:tcPr>
          <w:p w14:paraId="569DD634" w14:textId="77777777" w:rsidR="00A04166" w:rsidRPr="0061515C" w:rsidRDefault="00A04166" w:rsidP="009A2C46">
            <w:pPr>
              <w:rPr>
                <w:bCs/>
              </w:rPr>
            </w:pPr>
            <w:r w:rsidRPr="0061515C">
              <w:rPr>
                <w:bCs/>
              </w:rPr>
              <w:t>2</w:t>
            </w:r>
            <w:r w:rsidRPr="0061515C">
              <w:rPr>
                <w:bCs/>
                <w:vertAlign w:val="superscript"/>
              </w:rPr>
              <w:t>1</w:t>
            </w:r>
            <w:r w:rsidRPr="0061515C">
              <w:rPr>
                <w:bCs/>
              </w:rPr>
              <w:t>.</w:t>
            </w:r>
            <w:r w:rsidR="009A2C46" w:rsidRPr="0061515C">
              <w:rPr>
                <w:bCs/>
              </w:rPr>
              <w:t xml:space="preserve"> Impactul asupra sarcinilor administrative</w:t>
            </w:r>
          </w:p>
        </w:tc>
        <w:tc>
          <w:tcPr>
            <w:tcW w:w="5829" w:type="dxa"/>
            <w:tcBorders>
              <w:top w:val="single" w:sz="4" w:space="0" w:color="auto"/>
              <w:left w:val="single" w:sz="4" w:space="0" w:color="auto"/>
              <w:bottom w:val="single" w:sz="4" w:space="0" w:color="auto"/>
              <w:right w:val="single" w:sz="4" w:space="0" w:color="auto"/>
            </w:tcBorders>
          </w:tcPr>
          <w:p w14:paraId="002F72FE" w14:textId="77777777" w:rsidR="00A04166" w:rsidRPr="0061515C" w:rsidRDefault="009A2C46" w:rsidP="00904D90">
            <w:pPr>
              <w:rPr>
                <w:bCs/>
                <w:i/>
              </w:rPr>
            </w:pPr>
            <w:r w:rsidRPr="0061515C">
              <w:rPr>
                <w:bCs/>
                <w:i/>
              </w:rPr>
              <w:t>Nu este cazul.</w:t>
            </w:r>
          </w:p>
        </w:tc>
      </w:tr>
      <w:tr w:rsidR="006A0DA4" w:rsidRPr="0061515C" w14:paraId="351B9C9C" w14:textId="77777777" w:rsidTr="001260A0">
        <w:trPr>
          <w:trHeight w:val="529"/>
          <w:jc w:val="center"/>
        </w:trPr>
        <w:tc>
          <w:tcPr>
            <w:tcW w:w="3936" w:type="dxa"/>
            <w:tcBorders>
              <w:top w:val="single" w:sz="4" w:space="0" w:color="auto"/>
              <w:left w:val="single" w:sz="4" w:space="0" w:color="auto"/>
              <w:bottom w:val="single" w:sz="4" w:space="0" w:color="auto"/>
              <w:right w:val="single" w:sz="4" w:space="0" w:color="auto"/>
            </w:tcBorders>
          </w:tcPr>
          <w:p w14:paraId="4121E2F9" w14:textId="77777777" w:rsidR="006A0DA4" w:rsidRPr="0061515C" w:rsidRDefault="006A0DA4" w:rsidP="009A2C46">
            <w:pPr>
              <w:rPr>
                <w:bCs/>
              </w:rPr>
            </w:pPr>
            <w:r w:rsidRPr="0061515C">
              <w:rPr>
                <w:bCs/>
              </w:rPr>
              <w:t>2</w:t>
            </w:r>
            <w:r w:rsidRPr="0061515C">
              <w:rPr>
                <w:bCs/>
                <w:vertAlign w:val="superscript"/>
              </w:rPr>
              <w:t>2</w:t>
            </w:r>
            <w:r w:rsidRPr="0061515C">
              <w:rPr>
                <w:bCs/>
              </w:rPr>
              <w:t>. Impactul asupra întreprinderilor mici și mijlocii</w:t>
            </w:r>
          </w:p>
        </w:tc>
        <w:tc>
          <w:tcPr>
            <w:tcW w:w="5829" w:type="dxa"/>
            <w:tcBorders>
              <w:top w:val="single" w:sz="4" w:space="0" w:color="auto"/>
              <w:left w:val="single" w:sz="4" w:space="0" w:color="auto"/>
              <w:bottom w:val="single" w:sz="4" w:space="0" w:color="auto"/>
              <w:right w:val="single" w:sz="4" w:space="0" w:color="auto"/>
            </w:tcBorders>
          </w:tcPr>
          <w:p w14:paraId="4C0D4BA3" w14:textId="77777777" w:rsidR="006A0DA4" w:rsidRPr="0061515C" w:rsidRDefault="006A0DA4" w:rsidP="00904D90">
            <w:pPr>
              <w:rPr>
                <w:bCs/>
                <w:i/>
              </w:rPr>
            </w:pPr>
            <w:r w:rsidRPr="0061515C">
              <w:rPr>
                <w:bCs/>
                <w:i/>
              </w:rPr>
              <w:t>Nu este cazul.</w:t>
            </w:r>
          </w:p>
        </w:tc>
      </w:tr>
      <w:tr w:rsidR="0080290B" w:rsidRPr="0061515C" w14:paraId="66B6170E" w14:textId="77777777" w:rsidTr="006C50F6">
        <w:trPr>
          <w:trHeight w:val="421"/>
          <w:jc w:val="center"/>
        </w:trPr>
        <w:tc>
          <w:tcPr>
            <w:tcW w:w="3936" w:type="dxa"/>
            <w:tcBorders>
              <w:top w:val="single" w:sz="4" w:space="0" w:color="auto"/>
              <w:left w:val="single" w:sz="4" w:space="0" w:color="auto"/>
              <w:bottom w:val="single" w:sz="4" w:space="0" w:color="auto"/>
              <w:right w:val="single" w:sz="4" w:space="0" w:color="auto"/>
            </w:tcBorders>
          </w:tcPr>
          <w:p w14:paraId="7F53D1D4" w14:textId="77777777" w:rsidR="0080290B" w:rsidRPr="0061515C" w:rsidRDefault="0080290B" w:rsidP="00904D90">
            <w:pPr>
              <w:rPr>
                <w:bCs/>
              </w:rPr>
            </w:pPr>
            <w:r w:rsidRPr="0061515C">
              <w:rPr>
                <w:bCs/>
              </w:rPr>
              <w:t>3. Impactul social</w:t>
            </w:r>
          </w:p>
        </w:tc>
        <w:tc>
          <w:tcPr>
            <w:tcW w:w="5829" w:type="dxa"/>
            <w:tcBorders>
              <w:top w:val="single" w:sz="4" w:space="0" w:color="auto"/>
              <w:left w:val="single" w:sz="4" w:space="0" w:color="auto"/>
              <w:bottom w:val="single" w:sz="4" w:space="0" w:color="auto"/>
              <w:right w:val="single" w:sz="4" w:space="0" w:color="auto"/>
            </w:tcBorders>
          </w:tcPr>
          <w:p w14:paraId="4DA5A4F5" w14:textId="77777777" w:rsidR="00D37BB0" w:rsidRPr="0061515C" w:rsidRDefault="00884474" w:rsidP="00904D90">
            <w:pPr>
              <w:rPr>
                <w:bCs/>
                <w:i/>
              </w:rPr>
            </w:pPr>
            <w:r w:rsidRPr="0061515C">
              <w:rPr>
                <w:bCs/>
                <w:i/>
              </w:rPr>
              <w:t>Nu este cazul.</w:t>
            </w:r>
          </w:p>
        </w:tc>
      </w:tr>
      <w:tr w:rsidR="0080290B" w:rsidRPr="0061515C" w14:paraId="43B30E96" w14:textId="77777777" w:rsidTr="00484E0A">
        <w:trPr>
          <w:trHeight w:val="367"/>
          <w:jc w:val="center"/>
        </w:trPr>
        <w:tc>
          <w:tcPr>
            <w:tcW w:w="3936" w:type="dxa"/>
            <w:tcBorders>
              <w:top w:val="single" w:sz="4" w:space="0" w:color="auto"/>
              <w:left w:val="single" w:sz="4" w:space="0" w:color="auto"/>
              <w:bottom w:val="single" w:sz="4" w:space="0" w:color="auto"/>
              <w:right w:val="single" w:sz="4" w:space="0" w:color="auto"/>
            </w:tcBorders>
          </w:tcPr>
          <w:p w14:paraId="729F5BEF" w14:textId="77777777" w:rsidR="0080290B" w:rsidRPr="0061515C" w:rsidRDefault="0080290B" w:rsidP="00904D90">
            <w:pPr>
              <w:rPr>
                <w:bCs/>
              </w:rPr>
            </w:pPr>
            <w:r w:rsidRPr="0061515C">
              <w:rPr>
                <w:bCs/>
              </w:rPr>
              <w:t>4. Impactul asupra mediului</w:t>
            </w:r>
          </w:p>
        </w:tc>
        <w:tc>
          <w:tcPr>
            <w:tcW w:w="5829" w:type="dxa"/>
            <w:tcBorders>
              <w:top w:val="single" w:sz="4" w:space="0" w:color="auto"/>
              <w:left w:val="single" w:sz="4" w:space="0" w:color="auto"/>
              <w:bottom w:val="single" w:sz="4" w:space="0" w:color="auto"/>
              <w:right w:val="single" w:sz="4" w:space="0" w:color="auto"/>
            </w:tcBorders>
          </w:tcPr>
          <w:p w14:paraId="6696D695" w14:textId="77777777" w:rsidR="00D37BB0" w:rsidRPr="0061515C" w:rsidRDefault="00884474" w:rsidP="00C5083F">
            <w:pPr>
              <w:rPr>
                <w:bCs/>
                <w:i/>
              </w:rPr>
            </w:pPr>
            <w:r w:rsidRPr="0061515C">
              <w:rPr>
                <w:bCs/>
                <w:i/>
              </w:rPr>
              <w:t>Nu este cazul.</w:t>
            </w:r>
          </w:p>
        </w:tc>
      </w:tr>
      <w:tr w:rsidR="0080290B" w:rsidRPr="0061515C" w14:paraId="02265520" w14:textId="77777777" w:rsidTr="00A11196">
        <w:trPr>
          <w:trHeight w:val="337"/>
          <w:jc w:val="center"/>
        </w:trPr>
        <w:tc>
          <w:tcPr>
            <w:tcW w:w="3936" w:type="dxa"/>
            <w:tcBorders>
              <w:top w:val="single" w:sz="4" w:space="0" w:color="auto"/>
              <w:left w:val="single" w:sz="4" w:space="0" w:color="auto"/>
              <w:bottom w:val="single" w:sz="4" w:space="0" w:color="auto"/>
              <w:right w:val="single" w:sz="4" w:space="0" w:color="auto"/>
            </w:tcBorders>
          </w:tcPr>
          <w:p w14:paraId="47435F04" w14:textId="77777777" w:rsidR="0080290B" w:rsidRPr="0061515C" w:rsidRDefault="0080290B" w:rsidP="00904D90">
            <w:pPr>
              <w:rPr>
                <w:bCs/>
              </w:rPr>
            </w:pPr>
            <w:r w:rsidRPr="0061515C">
              <w:rPr>
                <w:bCs/>
              </w:rPr>
              <w:t>5. Alte informaţii</w:t>
            </w:r>
          </w:p>
        </w:tc>
        <w:tc>
          <w:tcPr>
            <w:tcW w:w="5829" w:type="dxa"/>
            <w:tcBorders>
              <w:top w:val="single" w:sz="4" w:space="0" w:color="auto"/>
              <w:left w:val="single" w:sz="4" w:space="0" w:color="auto"/>
              <w:bottom w:val="single" w:sz="4" w:space="0" w:color="auto"/>
              <w:right w:val="single" w:sz="4" w:space="0" w:color="auto"/>
            </w:tcBorders>
          </w:tcPr>
          <w:p w14:paraId="7EA10413" w14:textId="77777777" w:rsidR="00D37BB0" w:rsidRPr="0061515C" w:rsidRDefault="00E15D0A" w:rsidP="00904D90">
            <w:pPr>
              <w:rPr>
                <w:bCs/>
                <w:i/>
              </w:rPr>
            </w:pPr>
            <w:r w:rsidRPr="0061515C">
              <w:rPr>
                <w:bCs/>
                <w:i/>
              </w:rPr>
              <w:t>Nu au fost identificate.</w:t>
            </w:r>
          </w:p>
        </w:tc>
      </w:tr>
    </w:tbl>
    <w:p w14:paraId="139C68CC" w14:textId="77777777" w:rsidR="00BD084C" w:rsidRPr="0061515C" w:rsidRDefault="00BD084C" w:rsidP="005F1B75">
      <w:pPr>
        <w:jc w:val="center"/>
        <w:rPr>
          <w:b/>
        </w:rPr>
      </w:pPr>
    </w:p>
    <w:p w14:paraId="726D081D" w14:textId="77777777" w:rsidR="001D7F95" w:rsidRPr="0061515C" w:rsidRDefault="001D7F95" w:rsidP="005F1B75">
      <w:pPr>
        <w:jc w:val="center"/>
        <w:rPr>
          <w:b/>
        </w:rPr>
      </w:pPr>
    </w:p>
    <w:p w14:paraId="5BDD459B" w14:textId="77777777" w:rsidR="005F1B75" w:rsidRPr="0061515C" w:rsidRDefault="0080290B" w:rsidP="0071403F">
      <w:pPr>
        <w:numPr>
          <w:ilvl w:val="0"/>
          <w:numId w:val="7"/>
        </w:numPr>
        <w:jc w:val="center"/>
        <w:rPr>
          <w:b/>
        </w:rPr>
      </w:pPr>
      <w:r w:rsidRPr="0061515C">
        <w:rPr>
          <w:b/>
        </w:rPr>
        <w:t>Impactul financiar asupra bugetului general consolidat, atât pe termen scurt, pentru</w:t>
      </w:r>
    </w:p>
    <w:p w14:paraId="52C43BED" w14:textId="77777777" w:rsidR="00480F6F" w:rsidRPr="0061515C" w:rsidRDefault="0080290B" w:rsidP="00C7147A">
      <w:pPr>
        <w:jc w:val="center"/>
        <w:rPr>
          <w:b/>
        </w:rPr>
      </w:pPr>
      <w:r w:rsidRPr="0061515C">
        <w:rPr>
          <w:b/>
        </w:rPr>
        <w:t>anul curent, cât şi pe termen lung (pe 5 ani)</w:t>
      </w:r>
    </w:p>
    <w:p w14:paraId="4D3BCD29" w14:textId="77777777" w:rsidR="0080290B" w:rsidRPr="0061515C" w:rsidRDefault="0080290B" w:rsidP="0080290B">
      <w:pPr>
        <w:ind w:left="357"/>
        <w:jc w:val="center"/>
        <w:rPr>
          <w:bCs/>
        </w:rPr>
      </w:pPr>
      <w:r w:rsidRPr="0061515C">
        <w:rPr>
          <w:b/>
        </w:rPr>
        <w:t xml:space="preserve">      </w:t>
      </w:r>
      <w:r w:rsidR="00C7147A" w:rsidRPr="0061515C">
        <w:rPr>
          <w:b/>
        </w:rPr>
        <w:t xml:space="preserve">                               </w:t>
      </w:r>
      <w:r w:rsidRPr="0061515C">
        <w:rPr>
          <w:b/>
        </w:rPr>
        <w:t xml:space="preserve">                                                                                </w:t>
      </w:r>
      <w:r w:rsidRPr="0061515C">
        <w:rPr>
          <w:bCs/>
        </w:rPr>
        <w:t xml:space="preserve">- mii lei - </w:t>
      </w:r>
    </w:p>
    <w:tbl>
      <w:tblPr>
        <w:tblW w:w="983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105"/>
        <w:gridCol w:w="743"/>
        <w:gridCol w:w="6"/>
        <w:gridCol w:w="846"/>
        <w:gridCol w:w="816"/>
        <w:gridCol w:w="884"/>
        <w:gridCol w:w="1023"/>
      </w:tblGrid>
      <w:tr w:rsidR="001F3421" w:rsidRPr="0061515C" w14:paraId="2BB6104C" w14:textId="77777777" w:rsidTr="005910D4">
        <w:trPr>
          <w:trHeight w:val="544"/>
          <w:jc w:val="center"/>
        </w:trPr>
        <w:tc>
          <w:tcPr>
            <w:tcW w:w="4410" w:type="dxa"/>
            <w:vMerge w:val="restart"/>
            <w:tcBorders>
              <w:top w:val="single" w:sz="4" w:space="0" w:color="auto"/>
              <w:left w:val="single" w:sz="4" w:space="0" w:color="auto"/>
              <w:right w:val="single" w:sz="4" w:space="0" w:color="auto"/>
            </w:tcBorders>
          </w:tcPr>
          <w:p w14:paraId="0A3A847A" w14:textId="77777777" w:rsidR="001F3421" w:rsidRPr="0061515C" w:rsidRDefault="001F3421" w:rsidP="00904D90">
            <w:pPr>
              <w:pStyle w:val="Heading3"/>
              <w:spacing w:line="240" w:lineRule="auto"/>
              <w:rPr>
                <w:bCs/>
                <w:sz w:val="24"/>
                <w:szCs w:val="24"/>
              </w:rPr>
            </w:pPr>
            <w:r w:rsidRPr="0061515C">
              <w:rPr>
                <w:bCs/>
                <w:sz w:val="24"/>
                <w:szCs w:val="24"/>
              </w:rPr>
              <w:t>Indicatori</w:t>
            </w:r>
          </w:p>
        </w:tc>
        <w:tc>
          <w:tcPr>
            <w:tcW w:w="1105" w:type="dxa"/>
            <w:tcBorders>
              <w:top w:val="single" w:sz="4" w:space="0" w:color="auto"/>
              <w:left w:val="single" w:sz="4" w:space="0" w:color="auto"/>
              <w:bottom w:val="single" w:sz="4" w:space="0" w:color="auto"/>
              <w:right w:val="single" w:sz="4" w:space="0" w:color="auto"/>
            </w:tcBorders>
          </w:tcPr>
          <w:p w14:paraId="01F8E2FD" w14:textId="77777777" w:rsidR="001F3421" w:rsidRPr="0061515C" w:rsidRDefault="001F3421" w:rsidP="00904D90">
            <w:pPr>
              <w:jc w:val="center"/>
              <w:rPr>
                <w:bCs/>
              </w:rPr>
            </w:pPr>
            <w:r w:rsidRPr="0061515C">
              <w:rPr>
                <w:bCs/>
              </w:rPr>
              <w:t>Anul</w:t>
            </w:r>
          </w:p>
          <w:p w14:paraId="4428ACE5" w14:textId="77777777" w:rsidR="001F3421" w:rsidRPr="0061515C" w:rsidRDefault="001F3421" w:rsidP="00904D90">
            <w:pPr>
              <w:jc w:val="center"/>
              <w:rPr>
                <w:bCs/>
              </w:rPr>
            </w:pPr>
            <w:r w:rsidRPr="0061515C">
              <w:rPr>
                <w:bCs/>
              </w:rPr>
              <w:t>curent</w:t>
            </w:r>
          </w:p>
        </w:tc>
        <w:tc>
          <w:tcPr>
            <w:tcW w:w="3295" w:type="dxa"/>
            <w:gridSpan w:val="5"/>
            <w:tcBorders>
              <w:top w:val="single" w:sz="4" w:space="0" w:color="auto"/>
              <w:left w:val="single" w:sz="4" w:space="0" w:color="auto"/>
              <w:bottom w:val="single" w:sz="4" w:space="0" w:color="auto"/>
              <w:right w:val="single" w:sz="4" w:space="0" w:color="auto"/>
            </w:tcBorders>
          </w:tcPr>
          <w:p w14:paraId="677DB4BE" w14:textId="77777777" w:rsidR="001F3421" w:rsidRPr="0061515C" w:rsidRDefault="001F3421" w:rsidP="00904D90">
            <w:pPr>
              <w:jc w:val="center"/>
              <w:rPr>
                <w:bCs/>
              </w:rPr>
            </w:pPr>
            <w:r w:rsidRPr="0061515C">
              <w:rPr>
                <w:bCs/>
              </w:rPr>
              <w:t>Următorii 4 ani</w:t>
            </w:r>
          </w:p>
        </w:tc>
        <w:tc>
          <w:tcPr>
            <w:tcW w:w="1023" w:type="dxa"/>
            <w:tcBorders>
              <w:top w:val="single" w:sz="4" w:space="0" w:color="auto"/>
              <w:left w:val="single" w:sz="4" w:space="0" w:color="auto"/>
              <w:bottom w:val="single" w:sz="4" w:space="0" w:color="auto"/>
              <w:right w:val="single" w:sz="4" w:space="0" w:color="auto"/>
            </w:tcBorders>
          </w:tcPr>
          <w:p w14:paraId="5C8BCEEA" w14:textId="77777777" w:rsidR="001F3421" w:rsidRPr="0061515C" w:rsidRDefault="001F3421" w:rsidP="00904D90">
            <w:pPr>
              <w:jc w:val="center"/>
              <w:rPr>
                <w:bCs/>
              </w:rPr>
            </w:pPr>
            <w:r w:rsidRPr="0061515C">
              <w:rPr>
                <w:bCs/>
              </w:rPr>
              <w:t>Media</w:t>
            </w:r>
          </w:p>
          <w:p w14:paraId="7A8DC471" w14:textId="77777777" w:rsidR="001F3421" w:rsidRPr="0061515C" w:rsidRDefault="001F3421" w:rsidP="00904D90">
            <w:pPr>
              <w:jc w:val="center"/>
              <w:rPr>
                <w:bCs/>
              </w:rPr>
            </w:pPr>
            <w:r w:rsidRPr="0061515C">
              <w:rPr>
                <w:bCs/>
              </w:rPr>
              <w:t>pe 5 ani</w:t>
            </w:r>
          </w:p>
        </w:tc>
      </w:tr>
      <w:tr w:rsidR="001F3421" w:rsidRPr="0061515C" w14:paraId="2F214D95" w14:textId="77777777" w:rsidTr="001260A0">
        <w:trPr>
          <w:trHeight w:val="421"/>
          <w:jc w:val="center"/>
        </w:trPr>
        <w:tc>
          <w:tcPr>
            <w:tcW w:w="4410" w:type="dxa"/>
            <w:vMerge/>
            <w:tcBorders>
              <w:left w:val="single" w:sz="4" w:space="0" w:color="auto"/>
              <w:bottom w:val="single" w:sz="4" w:space="0" w:color="auto"/>
              <w:right w:val="single" w:sz="4" w:space="0" w:color="auto"/>
            </w:tcBorders>
          </w:tcPr>
          <w:p w14:paraId="029C0729" w14:textId="77777777" w:rsidR="001F3421" w:rsidRPr="0061515C" w:rsidRDefault="001F3421" w:rsidP="001F3421">
            <w:pPr>
              <w:rPr>
                <w:bCs/>
              </w:rPr>
            </w:pPr>
          </w:p>
        </w:tc>
        <w:tc>
          <w:tcPr>
            <w:tcW w:w="1105" w:type="dxa"/>
            <w:tcBorders>
              <w:top w:val="single" w:sz="4" w:space="0" w:color="auto"/>
              <w:left w:val="single" w:sz="4" w:space="0" w:color="auto"/>
              <w:bottom w:val="single" w:sz="4" w:space="0" w:color="auto"/>
              <w:right w:val="single" w:sz="4" w:space="0" w:color="auto"/>
            </w:tcBorders>
          </w:tcPr>
          <w:p w14:paraId="36CB5150" w14:textId="564D8673" w:rsidR="001F3421" w:rsidRPr="0061515C" w:rsidRDefault="001F3421" w:rsidP="00494936">
            <w:pPr>
              <w:jc w:val="center"/>
              <w:rPr>
                <w:bCs/>
              </w:rPr>
            </w:pPr>
          </w:p>
        </w:tc>
        <w:tc>
          <w:tcPr>
            <w:tcW w:w="749" w:type="dxa"/>
            <w:gridSpan w:val="2"/>
            <w:tcBorders>
              <w:top w:val="single" w:sz="4" w:space="0" w:color="auto"/>
              <w:left w:val="single" w:sz="4" w:space="0" w:color="auto"/>
              <w:bottom w:val="single" w:sz="4" w:space="0" w:color="auto"/>
              <w:right w:val="single" w:sz="4" w:space="0" w:color="auto"/>
            </w:tcBorders>
          </w:tcPr>
          <w:p w14:paraId="30FB445B" w14:textId="3BF400F8" w:rsidR="001F3421" w:rsidRPr="0061515C" w:rsidRDefault="001F3421" w:rsidP="00494936">
            <w:pPr>
              <w:rPr>
                <w:bCs/>
              </w:rPr>
            </w:pPr>
          </w:p>
        </w:tc>
        <w:tc>
          <w:tcPr>
            <w:tcW w:w="846" w:type="dxa"/>
            <w:tcBorders>
              <w:top w:val="single" w:sz="4" w:space="0" w:color="auto"/>
              <w:left w:val="single" w:sz="4" w:space="0" w:color="auto"/>
              <w:bottom w:val="single" w:sz="4" w:space="0" w:color="auto"/>
              <w:right w:val="single" w:sz="4" w:space="0" w:color="auto"/>
            </w:tcBorders>
          </w:tcPr>
          <w:p w14:paraId="327A1CD1" w14:textId="335AC2E8" w:rsidR="001F3421" w:rsidRPr="0061515C" w:rsidRDefault="001F3421" w:rsidP="00494936">
            <w:pPr>
              <w:rPr>
                <w:bCs/>
              </w:rPr>
            </w:pPr>
          </w:p>
        </w:tc>
        <w:tc>
          <w:tcPr>
            <w:tcW w:w="816" w:type="dxa"/>
            <w:tcBorders>
              <w:top w:val="single" w:sz="4" w:space="0" w:color="auto"/>
              <w:left w:val="single" w:sz="4" w:space="0" w:color="auto"/>
              <w:bottom w:val="single" w:sz="4" w:space="0" w:color="auto"/>
              <w:right w:val="single" w:sz="4" w:space="0" w:color="auto"/>
            </w:tcBorders>
          </w:tcPr>
          <w:p w14:paraId="11B05BE4" w14:textId="66F07F91" w:rsidR="001F3421" w:rsidRPr="0061515C" w:rsidRDefault="001F3421" w:rsidP="00494936">
            <w:pPr>
              <w:rPr>
                <w:bCs/>
              </w:rPr>
            </w:pPr>
          </w:p>
        </w:tc>
        <w:tc>
          <w:tcPr>
            <w:tcW w:w="884" w:type="dxa"/>
            <w:tcBorders>
              <w:top w:val="single" w:sz="4" w:space="0" w:color="auto"/>
              <w:left w:val="single" w:sz="4" w:space="0" w:color="auto"/>
              <w:bottom w:val="single" w:sz="4" w:space="0" w:color="auto"/>
              <w:right w:val="single" w:sz="4" w:space="0" w:color="auto"/>
            </w:tcBorders>
          </w:tcPr>
          <w:p w14:paraId="35C1E4C3" w14:textId="772BD0A7" w:rsidR="001F3421" w:rsidRPr="0061515C" w:rsidRDefault="001F3421" w:rsidP="00494936">
            <w:pPr>
              <w:rPr>
                <w:bCs/>
              </w:rPr>
            </w:pPr>
          </w:p>
        </w:tc>
        <w:tc>
          <w:tcPr>
            <w:tcW w:w="1023" w:type="dxa"/>
            <w:tcBorders>
              <w:top w:val="single" w:sz="4" w:space="0" w:color="auto"/>
              <w:left w:val="single" w:sz="4" w:space="0" w:color="auto"/>
              <w:bottom w:val="single" w:sz="4" w:space="0" w:color="auto"/>
              <w:right w:val="single" w:sz="4" w:space="0" w:color="auto"/>
            </w:tcBorders>
          </w:tcPr>
          <w:p w14:paraId="6A71E9C0" w14:textId="77777777" w:rsidR="001F3421" w:rsidRPr="0061515C" w:rsidRDefault="001F3421" w:rsidP="00904D90">
            <w:pPr>
              <w:rPr>
                <w:bCs/>
              </w:rPr>
            </w:pPr>
          </w:p>
        </w:tc>
      </w:tr>
      <w:tr w:rsidR="0080290B" w:rsidRPr="0061515C" w14:paraId="59833768" w14:textId="77777777" w:rsidTr="00FE01B9">
        <w:trPr>
          <w:trHeight w:val="2326"/>
          <w:jc w:val="center"/>
        </w:trPr>
        <w:tc>
          <w:tcPr>
            <w:tcW w:w="4410" w:type="dxa"/>
            <w:tcBorders>
              <w:top w:val="single" w:sz="4" w:space="0" w:color="auto"/>
              <w:left w:val="single" w:sz="4" w:space="0" w:color="auto"/>
              <w:bottom w:val="single" w:sz="4" w:space="0" w:color="auto"/>
              <w:right w:val="single" w:sz="4" w:space="0" w:color="auto"/>
            </w:tcBorders>
          </w:tcPr>
          <w:p w14:paraId="2BAA1703" w14:textId="77777777" w:rsidR="0080290B" w:rsidRPr="0061515C" w:rsidRDefault="0080290B" w:rsidP="00005118">
            <w:pPr>
              <w:numPr>
                <w:ilvl w:val="0"/>
                <w:numId w:val="8"/>
              </w:numPr>
              <w:spacing w:line="276" w:lineRule="auto"/>
              <w:rPr>
                <w:bCs/>
              </w:rPr>
            </w:pPr>
            <w:r w:rsidRPr="0061515C">
              <w:rPr>
                <w:bCs/>
              </w:rPr>
              <w:t>Modificări ale veniturilor bugetare, plus/minus, din care:</w:t>
            </w:r>
          </w:p>
          <w:p w14:paraId="37418550" w14:textId="77777777" w:rsidR="0080290B" w:rsidRPr="0061515C" w:rsidRDefault="0080290B" w:rsidP="00005118">
            <w:pPr>
              <w:numPr>
                <w:ilvl w:val="1"/>
                <w:numId w:val="8"/>
              </w:numPr>
              <w:spacing w:line="276" w:lineRule="auto"/>
              <w:rPr>
                <w:bCs/>
              </w:rPr>
            </w:pPr>
            <w:r w:rsidRPr="0061515C">
              <w:rPr>
                <w:bCs/>
              </w:rPr>
              <w:t>buget de stat, din acesta:</w:t>
            </w:r>
          </w:p>
          <w:p w14:paraId="67A422E1" w14:textId="77777777" w:rsidR="0080290B" w:rsidRPr="0061515C" w:rsidRDefault="0080290B" w:rsidP="00005118">
            <w:pPr>
              <w:numPr>
                <w:ilvl w:val="2"/>
                <w:numId w:val="8"/>
              </w:numPr>
              <w:spacing w:line="276" w:lineRule="auto"/>
              <w:rPr>
                <w:bCs/>
              </w:rPr>
            </w:pPr>
            <w:r w:rsidRPr="0061515C">
              <w:rPr>
                <w:bCs/>
              </w:rPr>
              <w:t>impozit pe profit</w:t>
            </w:r>
          </w:p>
          <w:p w14:paraId="1EDB0342" w14:textId="77777777" w:rsidR="0080290B" w:rsidRPr="0061515C" w:rsidRDefault="0080290B" w:rsidP="00005118">
            <w:pPr>
              <w:numPr>
                <w:ilvl w:val="2"/>
                <w:numId w:val="8"/>
              </w:numPr>
              <w:spacing w:line="276" w:lineRule="auto"/>
              <w:rPr>
                <w:bCs/>
              </w:rPr>
            </w:pPr>
            <w:r w:rsidRPr="0061515C">
              <w:rPr>
                <w:bCs/>
              </w:rPr>
              <w:t>impozit pe venit</w:t>
            </w:r>
          </w:p>
          <w:p w14:paraId="5318B592" w14:textId="77777777" w:rsidR="0080290B" w:rsidRPr="0061515C" w:rsidRDefault="0080290B" w:rsidP="00005118">
            <w:pPr>
              <w:numPr>
                <w:ilvl w:val="1"/>
                <w:numId w:val="8"/>
              </w:numPr>
              <w:spacing w:line="276" w:lineRule="auto"/>
              <w:rPr>
                <w:bCs/>
              </w:rPr>
            </w:pPr>
            <w:r w:rsidRPr="0061515C">
              <w:rPr>
                <w:bCs/>
              </w:rPr>
              <w:t>bugete locale:</w:t>
            </w:r>
          </w:p>
          <w:p w14:paraId="75FA7D86" w14:textId="77777777" w:rsidR="0080290B" w:rsidRPr="0061515C" w:rsidRDefault="0080290B" w:rsidP="00005118">
            <w:pPr>
              <w:numPr>
                <w:ilvl w:val="2"/>
                <w:numId w:val="8"/>
              </w:numPr>
              <w:spacing w:line="276" w:lineRule="auto"/>
              <w:rPr>
                <w:bCs/>
              </w:rPr>
            </w:pPr>
            <w:r w:rsidRPr="0061515C">
              <w:rPr>
                <w:bCs/>
              </w:rPr>
              <w:t>impozit pe profit</w:t>
            </w:r>
          </w:p>
          <w:p w14:paraId="25AE7591" w14:textId="77777777" w:rsidR="0080290B" w:rsidRPr="0061515C" w:rsidRDefault="0080290B" w:rsidP="00005118">
            <w:pPr>
              <w:numPr>
                <w:ilvl w:val="1"/>
                <w:numId w:val="8"/>
              </w:numPr>
              <w:spacing w:line="276" w:lineRule="auto"/>
              <w:rPr>
                <w:bCs/>
              </w:rPr>
            </w:pPr>
            <w:r w:rsidRPr="0061515C">
              <w:rPr>
                <w:bCs/>
              </w:rPr>
              <w:t>bugetul asigurărilor sociale de stat:</w:t>
            </w:r>
          </w:p>
          <w:p w14:paraId="30E10721" w14:textId="77777777" w:rsidR="0080290B" w:rsidRPr="0061515C" w:rsidRDefault="0080290B" w:rsidP="00005118">
            <w:pPr>
              <w:numPr>
                <w:ilvl w:val="2"/>
                <w:numId w:val="8"/>
              </w:numPr>
              <w:spacing w:line="276" w:lineRule="auto"/>
              <w:rPr>
                <w:bCs/>
              </w:rPr>
            </w:pPr>
            <w:r w:rsidRPr="0061515C">
              <w:t>contribuţii de asigurări</w:t>
            </w:r>
          </w:p>
        </w:tc>
        <w:tc>
          <w:tcPr>
            <w:tcW w:w="1105" w:type="dxa"/>
            <w:tcBorders>
              <w:top w:val="single" w:sz="4" w:space="0" w:color="auto"/>
              <w:left w:val="single" w:sz="4" w:space="0" w:color="auto"/>
              <w:bottom w:val="single" w:sz="4" w:space="0" w:color="auto"/>
              <w:right w:val="single" w:sz="4" w:space="0" w:color="auto"/>
            </w:tcBorders>
          </w:tcPr>
          <w:p w14:paraId="43DB5375" w14:textId="77777777" w:rsidR="0080290B" w:rsidRPr="0061515C" w:rsidRDefault="00AB1DC3" w:rsidP="00904D90">
            <w:pPr>
              <w:rPr>
                <w:bCs/>
              </w:rPr>
            </w:pPr>
            <w:r w:rsidRPr="0061515C">
              <w:rPr>
                <w:bCs/>
              </w:rPr>
              <w:t>-</w:t>
            </w:r>
          </w:p>
        </w:tc>
        <w:tc>
          <w:tcPr>
            <w:tcW w:w="749" w:type="dxa"/>
            <w:gridSpan w:val="2"/>
            <w:tcBorders>
              <w:top w:val="single" w:sz="4" w:space="0" w:color="auto"/>
              <w:left w:val="single" w:sz="4" w:space="0" w:color="auto"/>
              <w:bottom w:val="single" w:sz="4" w:space="0" w:color="auto"/>
              <w:right w:val="single" w:sz="4" w:space="0" w:color="auto"/>
            </w:tcBorders>
          </w:tcPr>
          <w:p w14:paraId="501D7A82" w14:textId="77777777" w:rsidR="0080290B" w:rsidRPr="0061515C" w:rsidRDefault="00AB1DC3" w:rsidP="00904D90">
            <w:pPr>
              <w:rPr>
                <w:bCs/>
              </w:rPr>
            </w:pPr>
            <w:r w:rsidRPr="0061515C">
              <w:rPr>
                <w:bCs/>
              </w:rPr>
              <w:t>-</w:t>
            </w:r>
          </w:p>
          <w:p w14:paraId="15F1A040" w14:textId="77777777" w:rsidR="0080290B" w:rsidRPr="0061515C" w:rsidRDefault="0080290B" w:rsidP="00904D90">
            <w:pPr>
              <w:rPr>
                <w:bCs/>
              </w:rPr>
            </w:pPr>
          </w:p>
          <w:p w14:paraId="719D749D" w14:textId="77777777" w:rsidR="0080290B" w:rsidRPr="0061515C" w:rsidRDefault="0080290B" w:rsidP="00904D90">
            <w:pPr>
              <w:rPr>
                <w:bCs/>
              </w:rPr>
            </w:pPr>
          </w:p>
          <w:p w14:paraId="408FA22C" w14:textId="77777777" w:rsidR="0080290B" w:rsidRPr="0061515C" w:rsidRDefault="0080290B" w:rsidP="00904D90">
            <w:pPr>
              <w:rPr>
                <w:bCs/>
              </w:rPr>
            </w:pPr>
          </w:p>
        </w:tc>
        <w:tc>
          <w:tcPr>
            <w:tcW w:w="846" w:type="dxa"/>
            <w:tcBorders>
              <w:top w:val="single" w:sz="4" w:space="0" w:color="auto"/>
              <w:left w:val="single" w:sz="4" w:space="0" w:color="auto"/>
              <w:bottom w:val="single" w:sz="4" w:space="0" w:color="auto"/>
              <w:right w:val="single" w:sz="4" w:space="0" w:color="auto"/>
            </w:tcBorders>
          </w:tcPr>
          <w:p w14:paraId="614D44A1" w14:textId="77777777" w:rsidR="0080290B" w:rsidRPr="0061515C" w:rsidRDefault="00AB1DC3" w:rsidP="00904D90">
            <w:pPr>
              <w:rPr>
                <w:bCs/>
              </w:rPr>
            </w:pPr>
            <w:r w:rsidRPr="0061515C">
              <w:rPr>
                <w:bCs/>
              </w:rPr>
              <w:t>-</w:t>
            </w:r>
          </w:p>
        </w:tc>
        <w:tc>
          <w:tcPr>
            <w:tcW w:w="816" w:type="dxa"/>
            <w:tcBorders>
              <w:top w:val="single" w:sz="4" w:space="0" w:color="auto"/>
              <w:left w:val="single" w:sz="4" w:space="0" w:color="auto"/>
              <w:bottom w:val="single" w:sz="4" w:space="0" w:color="auto"/>
              <w:right w:val="single" w:sz="4" w:space="0" w:color="auto"/>
            </w:tcBorders>
          </w:tcPr>
          <w:p w14:paraId="6C4EBBBD" w14:textId="77777777" w:rsidR="0080290B" w:rsidRPr="0061515C" w:rsidRDefault="00AB1DC3" w:rsidP="00904D90">
            <w:pPr>
              <w:rPr>
                <w:bCs/>
              </w:rPr>
            </w:pPr>
            <w:r w:rsidRPr="0061515C">
              <w:rPr>
                <w:bCs/>
              </w:rPr>
              <w:t>-</w:t>
            </w:r>
          </w:p>
        </w:tc>
        <w:tc>
          <w:tcPr>
            <w:tcW w:w="884" w:type="dxa"/>
            <w:tcBorders>
              <w:top w:val="single" w:sz="4" w:space="0" w:color="auto"/>
              <w:left w:val="single" w:sz="4" w:space="0" w:color="auto"/>
              <w:bottom w:val="single" w:sz="4" w:space="0" w:color="auto"/>
              <w:right w:val="single" w:sz="4" w:space="0" w:color="auto"/>
            </w:tcBorders>
          </w:tcPr>
          <w:p w14:paraId="2385270A" w14:textId="77777777" w:rsidR="0080290B" w:rsidRPr="0061515C" w:rsidRDefault="00AB1DC3" w:rsidP="00904D90">
            <w:pPr>
              <w:rPr>
                <w:bCs/>
              </w:rPr>
            </w:pPr>
            <w:r w:rsidRPr="0061515C">
              <w:rPr>
                <w:bCs/>
              </w:rPr>
              <w:t>-</w:t>
            </w:r>
          </w:p>
        </w:tc>
        <w:tc>
          <w:tcPr>
            <w:tcW w:w="1023" w:type="dxa"/>
            <w:tcBorders>
              <w:top w:val="single" w:sz="4" w:space="0" w:color="auto"/>
              <w:left w:val="single" w:sz="4" w:space="0" w:color="auto"/>
              <w:bottom w:val="single" w:sz="4" w:space="0" w:color="auto"/>
              <w:right w:val="single" w:sz="4" w:space="0" w:color="auto"/>
            </w:tcBorders>
          </w:tcPr>
          <w:p w14:paraId="46377B55" w14:textId="77777777" w:rsidR="0080290B" w:rsidRPr="0061515C" w:rsidRDefault="00AB1DC3" w:rsidP="00904D90">
            <w:pPr>
              <w:rPr>
                <w:bCs/>
              </w:rPr>
            </w:pPr>
            <w:r w:rsidRPr="0061515C">
              <w:rPr>
                <w:bCs/>
              </w:rPr>
              <w:t>-</w:t>
            </w:r>
          </w:p>
        </w:tc>
      </w:tr>
      <w:tr w:rsidR="0080290B" w:rsidRPr="0061515C" w14:paraId="30F1C174" w14:textId="77777777" w:rsidTr="00882552">
        <w:trPr>
          <w:trHeight w:val="619"/>
          <w:jc w:val="center"/>
        </w:trPr>
        <w:tc>
          <w:tcPr>
            <w:tcW w:w="4410" w:type="dxa"/>
            <w:tcBorders>
              <w:top w:val="single" w:sz="4" w:space="0" w:color="auto"/>
              <w:left w:val="single" w:sz="4" w:space="0" w:color="auto"/>
              <w:bottom w:val="single" w:sz="4" w:space="0" w:color="auto"/>
              <w:right w:val="single" w:sz="4" w:space="0" w:color="auto"/>
            </w:tcBorders>
          </w:tcPr>
          <w:p w14:paraId="19F16E38" w14:textId="77777777" w:rsidR="0080290B" w:rsidRPr="0061515C" w:rsidRDefault="0080290B" w:rsidP="00005118">
            <w:pPr>
              <w:numPr>
                <w:ilvl w:val="0"/>
                <w:numId w:val="8"/>
              </w:numPr>
              <w:spacing w:line="276" w:lineRule="auto"/>
              <w:rPr>
                <w:bCs/>
              </w:rPr>
            </w:pPr>
            <w:r w:rsidRPr="0061515C">
              <w:rPr>
                <w:bCs/>
              </w:rPr>
              <w:t>Modificări ale cheltuielilor bugetare, plus/minus, din care:</w:t>
            </w:r>
          </w:p>
          <w:p w14:paraId="5E1E2139" w14:textId="77777777" w:rsidR="0080290B" w:rsidRPr="0061515C" w:rsidRDefault="0080290B" w:rsidP="00005118">
            <w:pPr>
              <w:numPr>
                <w:ilvl w:val="3"/>
                <w:numId w:val="8"/>
              </w:numPr>
              <w:spacing w:line="276" w:lineRule="auto"/>
              <w:jc w:val="both"/>
              <w:rPr>
                <w:bCs/>
              </w:rPr>
            </w:pPr>
            <w:r w:rsidRPr="0061515C">
              <w:rPr>
                <w:bCs/>
              </w:rPr>
              <w:t>buget de stat, din acesta:</w:t>
            </w:r>
          </w:p>
          <w:p w14:paraId="44ED8177" w14:textId="77777777" w:rsidR="0080290B" w:rsidRPr="0061515C" w:rsidRDefault="0080290B" w:rsidP="00005118">
            <w:pPr>
              <w:numPr>
                <w:ilvl w:val="4"/>
                <w:numId w:val="8"/>
              </w:numPr>
              <w:spacing w:line="276" w:lineRule="auto"/>
              <w:jc w:val="both"/>
              <w:rPr>
                <w:bCs/>
              </w:rPr>
            </w:pPr>
            <w:r w:rsidRPr="0061515C">
              <w:rPr>
                <w:bCs/>
              </w:rPr>
              <w:t>cheltuieli de personal</w:t>
            </w:r>
          </w:p>
          <w:p w14:paraId="668C9270" w14:textId="77777777" w:rsidR="0080290B" w:rsidRPr="0061515C" w:rsidRDefault="0080290B" w:rsidP="00005118">
            <w:pPr>
              <w:numPr>
                <w:ilvl w:val="0"/>
                <w:numId w:val="12"/>
              </w:numPr>
              <w:spacing w:line="276" w:lineRule="auto"/>
              <w:jc w:val="both"/>
              <w:rPr>
                <w:bCs/>
              </w:rPr>
            </w:pPr>
            <w:r w:rsidRPr="0061515C">
              <w:rPr>
                <w:bCs/>
              </w:rPr>
              <w:t>bunuri şi servicii</w:t>
            </w:r>
          </w:p>
          <w:p w14:paraId="39DAB538" w14:textId="77777777" w:rsidR="0080290B" w:rsidRPr="0061515C" w:rsidRDefault="0080290B" w:rsidP="00005118">
            <w:pPr>
              <w:tabs>
                <w:tab w:val="num" w:pos="0"/>
              </w:tabs>
              <w:spacing w:line="276" w:lineRule="auto"/>
              <w:jc w:val="both"/>
              <w:rPr>
                <w:bCs/>
              </w:rPr>
            </w:pPr>
            <w:r w:rsidRPr="0061515C">
              <w:rPr>
                <w:bCs/>
              </w:rPr>
              <w:t xml:space="preserve">      b) bugete locale:</w:t>
            </w:r>
          </w:p>
          <w:p w14:paraId="1666F9B7" w14:textId="77777777" w:rsidR="0080290B" w:rsidRPr="0061515C" w:rsidRDefault="0080290B" w:rsidP="00005118">
            <w:pPr>
              <w:numPr>
                <w:ilvl w:val="0"/>
                <w:numId w:val="13"/>
              </w:numPr>
              <w:spacing w:line="276" w:lineRule="auto"/>
              <w:jc w:val="both"/>
              <w:rPr>
                <w:bCs/>
              </w:rPr>
            </w:pPr>
            <w:r w:rsidRPr="0061515C">
              <w:rPr>
                <w:bCs/>
              </w:rPr>
              <w:t>cheltuieli de personal</w:t>
            </w:r>
          </w:p>
          <w:p w14:paraId="0786A931" w14:textId="77777777" w:rsidR="0080290B" w:rsidRPr="0061515C" w:rsidRDefault="0080290B" w:rsidP="00005118">
            <w:pPr>
              <w:numPr>
                <w:ilvl w:val="0"/>
                <w:numId w:val="13"/>
              </w:numPr>
              <w:spacing w:line="276" w:lineRule="auto"/>
              <w:jc w:val="both"/>
              <w:rPr>
                <w:bCs/>
              </w:rPr>
            </w:pPr>
            <w:r w:rsidRPr="0061515C">
              <w:rPr>
                <w:bCs/>
              </w:rPr>
              <w:t>bunuri şi servicii</w:t>
            </w:r>
          </w:p>
          <w:p w14:paraId="541569C2" w14:textId="77777777" w:rsidR="0080290B" w:rsidRPr="0061515C" w:rsidRDefault="0080290B" w:rsidP="00005118">
            <w:pPr>
              <w:tabs>
                <w:tab w:val="num" w:pos="0"/>
              </w:tabs>
              <w:spacing w:line="276" w:lineRule="auto"/>
              <w:jc w:val="both"/>
              <w:rPr>
                <w:bCs/>
              </w:rPr>
            </w:pPr>
            <w:r w:rsidRPr="0061515C">
              <w:rPr>
                <w:bCs/>
              </w:rPr>
              <w:t xml:space="preserve">      c) bugetul asigurărilor sociale de stat:</w:t>
            </w:r>
          </w:p>
          <w:p w14:paraId="548710B7" w14:textId="77777777" w:rsidR="0080290B" w:rsidRPr="0061515C" w:rsidRDefault="0080290B" w:rsidP="00005118">
            <w:pPr>
              <w:numPr>
                <w:ilvl w:val="0"/>
                <w:numId w:val="14"/>
              </w:numPr>
              <w:spacing w:line="276" w:lineRule="auto"/>
              <w:jc w:val="both"/>
              <w:rPr>
                <w:bCs/>
              </w:rPr>
            </w:pPr>
            <w:r w:rsidRPr="0061515C">
              <w:rPr>
                <w:bCs/>
              </w:rPr>
              <w:t>cheltuieli de personal</w:t>
            </w:r>
          </w:p>
          <w:p w14:paraId="5C992321" w14:textId="77777777" w:rsidR="0080290B" w:rsidRPr="0061515C" w:rsidRDefault="0080290B" w:rsidP="00005118">
            <w:pPr>
              <w:numPr>
                <w:ilvl w:val="0"/>
                <w:numId w:val="14"/>
              </w:numPr>
              <w:spacing w:line="276" w:lineRule="auto"/>
              <w:jc w:val="both"/>
              <w:rPr>
                <w:bCs/>
              </w:rPr>
            </w:pPr>
            <w:r w:rsidRPr="0061515C">
              <w:rPr>
                <w:bCs/>
              </w:rPr>
              <w:t>bunuri şi servicii</w:t>
            </w:r>
          </w:p>
        </w:tc>
        <w:tc>
          <w:tcPr>
            <w:tcW w:w="1105" w:type="dxa"/>
            <w:tcBorders>
              <w:top w:val="single" w:sz="4" w:space="0" w:color="auto"/>
              <w:left w:val="single" w:sz="4" w:space="0" w:color="auto"/>
              <w:bottom w:val="single" w:sz="4" w:space="0" w:color="auto"/>
              <w:right w:val="single" w:sz="4" w:space="0" w:color="auto"/>
            </w:tcBorders>
          </w:tcPr>
          <w:p w14:paraId="79E5A358" w14:textId="77777777" w:rsidR="0080290B" w:rsidRPr="0061515C" w:rsidRDefault="00D21843" w:rsidP="00904D90">
            <w:pPr>
              <w:rPr>
                <w:bCs/>
              </w:rPr>
            </w:pPr>
            <w:r w:rsidRPr="0061515C">
              <w:rPr>
                <w:bCs/>
              </w:rPr>
              <w:t>-</w:t>
            </w:r>
          </w:p>
          <w:p w14:paraId="79B8588F" w14:textId="77777777" w:rsidR="0080290B" w:rsidRPr="0061515C" w:rsidRDefault="0080290B" w:rsidP="00904D90">
            <w:pPr>
              <w:rPr>
                <w:bCs/>
              </w:rPr>
            </w:pPr>
          </w:p>
          <w:p w14:paraId="302A4DE0" w14:textId="77777777" w:rsidR="0080290B" w:rsidRPr="0061515C" w:rsidRDefault="0080290B" w:rsidP="00904D90">
            <w:pPr>
              <w:rPr>
                <w:bCs/>
              </w:rPr>
            </w:pPr>
          </w:p>
          <w:p w14:paraId="61FA61D1" w14:textId="77777777" w:rsidR="0080290B" w:rsidRPr="0061515C" w:rsidRDefault="0080290B" w:rsidP="00904D90">
            <w:pPr>
              <w:rPr>
                <w:bCs/>
              </w:rPr>
            </w:pPr>
          </w:p>
        </w:tc>
        <w:tc>
          <w:tcPr>
            <w:tcW w:w="743" w:type="dxa"/>
            <w:tcBorders>
              <w:top w:val="single" w:sz="4" w:space="0" w:color="auto"/>
              <w:left w:val="single" w:sz="4" w:space="0" w:color="auto"/>
              <w:bottom w:val="single" w:sz="4" w:space="0" w:color="auto"/>
              <w:right w:val="single" w:sz="4" w:space="0" w:color="auto"/>
            </w:tcBorders>
          </w:tcPr>
          <w:p w14:paraId="5D8767CA" w14:textId="77777777" w:rsidR="0080290B" w:rsidRPr="0061515C" w:rsidRDefault="00D21843" w:rsidP="00904D90">
            <w:pPr>
              <w:rPr>
                <w:bCs/>
              </w:rPr>
            </w:pPr>
            <w:r w:rsidRPr="0061515C">
              <w:rPr>
                <w:bCs/>
              </w:rPr>
              <w:t>-</w:t>
            </w:r>
          </w:p>
          <w:p w14:paraId="2EA59A8F" w14:textId="77777777" w:rsidR="0080290B" w:rsidRPr="0061515C" w:rsidRDefault="0080290B" w:rsidP="00904D90">
            <w:pPr>
              <w:rPr>
                <w:bCs/>
              </w:rPr>
            </w:pPr>
          </w:p>
        </w:tc>
        <w:tc>
          <w:tcPr>
            <w:tcW w:w="852" w:type="dxa"/>
            <w:gridSpan w:val="2"/>
            <w:tcBorders>
              <w:top w:val="single" w:sz="4" w:space="0" w:color="auto"/>
              <w:left w:val="single" w:sz="4" w:space="0" w:color="auto"/>
              <w:bottom w:val="single" w:sz="4" w:space="0" w:color="auto"/>
              <w:right w:val="single" w:sz="4" w:space="0" w:color="auto"/>
            </w:tcBorders>
          </w:tcPr>
          <w:p w14:paraId="22272230" w14:textId="77777777" w:rsidR="0080290B" w:rsidRPr="0061515C" w:rsidRDefault="00D21843" w:rsidP="00904D90">
            <w:pPr>
              <w:rPr>
                <w:bCs/>
              </w:rPr>
            </w:pPr>
            <w:r w:rsidRPr="0061515C">
              <w:rPr>
                <w:bCs/>
              </w:rPr>
              <w:t>-</w:t>
            </w:r>
          </w:p>
        </w:tc>
        <w:tc>
          <w:tcPr>
            <w:tcW w:w="816" w:type="dxa"/>
            <w:tcBorders>
              <w:top w:val="single" w:sz="4" w:space="0" w:color="auto"/>
              <w:left w:val="single" w:sz="4" w:space="0" w:color="auto"/>
              <w:bottom w:val="single" w:sz="4" w:space="0" w:color="auto"/>
              <w:right w:val="single" w:sz="4" w:space="0" w:color="auto"/>
            </w:tcBorders>
          </w:tcPr>
          <w:p w14:paraId="525754CB" w14:textId="77777777" w:rsidR="0080290B" w:rsidRPr="0061515C" w:rsidRDefault="00D21843" w:rsidP="00904D90">
            <w:pPr>
              <w:rPr>
                <w:bCs/>
              </w:rPr>
            </w:pPr>
            <w:r w:rsidRPr="0061515C">
              <w:rPr>
                <w:bCs/>
              </w:rPr>
              <w:t>-</w:t>
            </w:r>
          </w:p>
        </w:tc>
        <w:tc>
          <w:tcPr>
            <w:tcW w:w="884" w:type="dxa"/>
            <w:tcBorders>
              <w:top w:val="single" w:sz="4" w:space="0" w:color="auto"/>
              <w:left w:val="single" w:sz="4" w:space="0" w:color="auto"/>
              <w:bottom w:val="single" w:sz="4" w:space="0" w:color="auto"/>
              <w:right w:val="single" w:sz="4" w:space="0" w:color="auto"/>
            </w:tcBorders>
          </w:tcPr>
          <w:p w14:paraId="7B5CC2EA" w14:textId="77777777" w:rsidR="0080290B" w:rsidRPr="0061515C" w:rsidRDefault="00D21843" w:rsidP="00904D90">
            <w:pPr>
              <w:rPr>
                <w:bCs/>
              </w:rPr>
            </w:pPr>
            <w:r w:rsidRPr="0061515C">
              <w:rPr>
                <w:bCs/>
              </w:rPr>
              <w:t>-</w:t>
            </w:r>
          </w:p>
        </w:tc>
        <w:tc>
          <w:tcPr>
            <w:tcW w:w="1023" w:type="dxa"/>
            <w:tcBorders>
              <w:top w:val="single" w:sz="4" w:space="0" w:color="auto"/>
              <w:left w:val="single" w:sz="4" w:space="0" w:color="auto"/>
              <w:bottom w:val="single" w:sz="4" w:space="0" w:color="auto"/>
              <w:right w:val="single" w:sz="4" w:space="0" w:color="auto"/>
            </w:tcBorders>
          </w:tcPr>
          <w:p w14:paraId="30AE7CAD" w14:textId="77777777" w:rsidR="0080290B" w:rsidRPr="0061515C" w:rsidRDefault="00D21843" w:rsidP="00904D90">
            <w:pPr>
              <w:rPr>
                <w:bCs/>
              </w:rPr>
            </w:pPr>
            <w:r w:rsidRPr="0061515C">
              <w:rPr>
                <w:bCs/>
              </w:rPr>
              <w:t>-</w:t>
            </w:r>
          </w:p>
        </w:tc>
      </w:tr>
      <w:tr w:rsidR="0080290B" w:rsidRPr="0061515C" w14:paraId="1BB52577" w14:textId="77777777" w:rsidTr="00FE01B9">
        <w:trPr>
          <w:trHeight w:val="645"/>
          <w:jc w:val="center"/>
        </w:trPr>
        <w:tc>
          <w:tcPr>
            <w:tcW w:w="4410" w:type="dxa"/>
            <w:tcBorders>
              <w:top w:val="single" w:sz="4" w:space="0" w:color="auto"/>
              <w:left w:val="single" w:sz="4" w:space="0" w:color="auto"/>
              <w:bottom w:val="single" w:sz="4" w:space="0" w:color="auto"/>
              <w:right w:val="single" w:sz="4" w:space="0" w:color="auto"/>
            </w:tcBorders>
          </w:tcPr>
          <w:p w14:paraId="4597595B" w14:textId="77777777" w:rsidR="0080290B" w:rsidRPr="0061515C" w:rsidRDefault="0080290B" w:rsidP="00005118">
            <w:pPr>
              <w:numPr>
                <w:ilvl w:val="0"/>
                <w:numId w:val="8"/>
              </w:numPr>
              <w:spacing w:line="276" w:lineRule="auto"/>
              <w:jc w:val="both"/>
              <w:rPr>
                <w:bCs/>
              </w:rPr>
            </w:pPr>
            <w:r w:rsidRPr="0061515C">
              <w:rPr>
                <w:bCs/>
              </w:rPr>
              <w:t>Impact financiar, plus/ minus, din care:</w:t>
            </w:r>
          </w:p>
          <w:p w14:paraId="5A4BC635" w14:textId="77777777" w:rsidR="0080290B" w:rsidRPr="0061515C" w:rsidRDefault="0080290B" w:rsidP="00005118">
            <w:pPr>
              <w:numPr>
                <w:ilvl w:val="0"/>
                <w:numId w:val="5"/>
              </w:numPr>
              <w:spacing w:line="276" w:lineRule="auto"/>
              <w:jc w:val="both"/>
              <w:rPr>
                <w:bCs/>
              </w:rPr>
            </w:pPr>
            <w:r w:rsidRPr="0061515C">
              <w:rPr>
                <w:bCs/>
              </w:rPr>
              <w:t>buget de stat</w:t>
            </w:r>
          </w:p>
          <w:p w14:paraId="27FFCA67" w14:textId="77777777" w:rsidR="0080290B" w:rsidRPr="0061515C" w:rsidRDefault="0080290B" w:rsidP="00005118">
            <w:pPr>
              <w:numPr>
                <w:ilvl w:val="0"/>
                <w:numId w:val="5"/>
              </w:numPr>
              <w:spacing w:line="276" w:lineRule="auto"/>
              <w:jc w:val="both"/>
              <w:rPr>
                <w:bCs/>
              </w:rPr>
            </w:pPr>
            <w:r w:rsidRPr="0061515C">
              <w:rPr>
                <w:bCs/>
              </w:rPr>
              <w:t>bugete locale</w:t>
            </w:r>
          </w:p>
        </w:tc>
        <w:tc>
          <w:tcPr>
            <w:tcW w:w="5423" w:type="dxa"/>
            <w:gridSpan w:val="7"/>
            <w:tcBorders>
              <w:top w:val="single" w:sz="4" w:space="0" w:color="auto"/>
              <w:left w:val="single" w:sz="4" w:space="0" w:color="auto"/>
              <w:bottom w:val="single" w:sz="4" w:space="0" w:color="auto"/>
              <w:right w:val="single" w:sz="4" w:space="0" w:color="auto"/>
            </w:tcBorders>
          </w:tcPr>
          <w:p w14:paraId="1B04A185" w14:textId="0B8B015F" w:rsidR="003A4AE7" w:rsidRPr="003A4AE7" w:rsidRDefault="00EA460F" w:rsidP="00EA460F">
            <w:pPr>
              <w:pStyle w:val="ListParagraph"/>
              <w:ind w:left="13"/>
              <w:rPr>
                <w:bCs/>
                <w:i/>
              </w:rPr>
            </w:pPr>
            <w:r w:rsidRPr="0061515C">
              <w:rPr>
                <w:bCs/>
                <w:i/>
              </w:rPr>
              <w:t>Nu este cazul.</w:t>
            </w:r>
          </w:p>
        </w:tc>
      </w:tr>
      <w:tr w:rsidR="0080290B" w:rsidRPr="0061515C" w14:paraId="6B9E4F9C" w14:textId="77777777" w:rsidTr="001260A0">
        <w:trPr>
          <w:trHeight w:val="736"/>
          <w:jc w:val="center"/>
        </w:trPr>
        <w:tc>
          <w:tcPr>
            <w:tcW w:w="4410" w:type="dxa"/>
            <w:tcBorders>
              <w:top w:val="single" w:sz="4" w:space="0" w:color="auto"/>
              <w:left w:val="single" w:sz="4" w:space="0" w:color="auto"/>
              <w:bottom w:val="single" w:sz="4" w:space="0" w:color="auto"/>
              <w:right w:val="single" w:sz="4" w:space="0" w:color="auto"/>
            </w:tcBorders>
          </w:tcPr>
          <w:p w14:paraId="0F6AF7E9" w14:textId="77777777" w:rsidR="0080290B" w:rsidRPr="0061515C" w:rsidRDefault="0080290B" w:rsidP="00005118">
            <w:pPr>
              <w:numPr>
                <w:ilvl w:val="0"/>
                <w:numId w:val="8"/>
              </w:numPr>
              <w:spacing w:line="276" w:lineRule="auto"/>
              <w:jc w:val="both"/>
              <w:rPr>
                <w:bCs/>
              </w:rPr>
            </w:pPr>
            <w:r w:rsidRPr="0061515C">
              <w:rPr>
                <w:bCs/>
              </w:rPr>
              <w:t>Propuneri pentru acoperirea creşterii cheltuielilor bugetare</w:t>
            </w:r>
          </w:p>
        </w:tc>
        <w:tc>
          <w:tcPr>
            <w:tcW w:w="5423" w:type="dxa"/>
            <w:gridSpan w:val="7"/>
            <w:tcBorders>
              <w:top w:val="single" w:sz="4" w:space="0" w:color="auto"/>
              <w:left w:val="single" w:sz="4" w:space="0" w:color="auto"/>
              <w:bottom w:val="single" w:sz="4" w:space="0" w:color="auto"/>
              <w:right w:val="single" w:sz="4" w:space="0" w:color="auto"/>
            </w:tcBorders>
          </w:tcPr>
          <w:p w14:paraId="15B56988" w14:textId="77777777" w:rsidR="0080290B" w:rsidRPr="0061515C" w:rsidRDefault="00F65CEF" w:rsidP="00904D90">
            <w:pPr>
              <w:rPr>
                <w:bCs/>
              </w:rPr>
            </w:pPr>
            <w:r w:rsidRPr="0061515C">
              <w:rPr>
                <w:bCs/>
                <w:i/>
              </w:rPr>
              <w:t>Nu este cazul.</w:t>
            </w:r>
          </w:p>
        </w:tc>
      </w:tr>
      <w:tr w:rsidR="0080290B" w:rsidRPr="0061515C" w14:paraId="1735C7D2" w14:textId="77777777" w:rsidTr="001260A0">
        <w:trPr>
          <w:trHeight w:val="664"/>
          <w:jc w:val="center"/>
        </w:trPr>
        <w:tc>
          <w:tcPr>
            <w:tcW w:w="4410" w:type="dxa"/>
            <w:tcBorders>
              <w:top w:val="single" w:sz="4" w:space="0" w:color="auto"/>
              <w:left w:val="single" w:sz="4" w:space="0" w:color="auto"/>
              <w:bottom w:val="single" w:sz="4" w:space="0" w:color="auto"/>
              <w:right w:val="single" w:sz="4" w:space="0" w:color="auto"/>
            </w:tcBorders>
          </w:tcPr>
          <w:p w14:paraId="3360FF45" w14:textId="77777777" w:rsidR="0080290B" w:rsidRPr="0061515C" w:rsidRDefault="0080290B" w:rsidP="00005118">
            <w:pPr>
              <w:numPr>
                <w:ilvl w:val="0"/>
                <w:numId w:val="8"/>
              </w:numPr>
              <w:spacing w:line="276" w:lineRule="auto"/>
              <w:jc w:val="both"/>
              <w:rPr>
                <w:bCs/>
              </w:rPr>
            </w:pPr>
            <w:r w:rsidRPr="0061515C">
              <w:rPr>
                <w:bCs/>
              </w:rPr>
              <w:t>Propuneri pentru a compensa reducerea veniturilor bugetare</w:t>
            </w:r>
          </w:p>
        </w:tc>
        <w:tc>
          <w:tcPr>
            <w:tcW w:w="5423" w:type="dxa"/>
            <w:gridSpan w:val="7"/>
            <w:tcBorders>
              <w:top w:val="single" w:sz="4" w:space="0" w:color="auto"/>
              <w:left w:val="single" w:sz="4" w:space="0" w:color="auto"/>
              <w:bottom w:val="single" w:sz="4" w:space="0" w:color="auto"/>
              <w:right w:val="single" w:sz="4" w:space="0" w:color="auto"/>
            </w:tcBorders>
          </w:tcPr>
          <w:p w14:paraId="2B2DCD9D" w14:textId="77777777" w:rsidR="0080290B" w:rsidRPr="0061515C" w:rsidRDefault="00F65CEF" w:rsidP="00904D90">
            <w:pPr>
              <w:rPr>
                <w:bCs/>
              </w:rPr>
            </w:pPr>
            <w:r w:rsidRPr="0061515C">
              <w:rPr>
                <w:bCs/>
                <w:i/>
              </w:rPr>
              <w:t>Nu este cazul.</w:t>
            </w:r>
          </w:p>
        </w:tc>
      </w:tr>
      <w:tr w:rsidR="0080290B" w:rsidRPr="0061515C" w14:paraId="5539FC1C" w14:textId="77777777" w:rsidTr="004F3C12">
        <w:trPr>
          <w:trHeight w:val="754"/>
          <w:jc w:val="center"/>
        </w:trPr>
        <w:tc>
          <w:tcPr>
            <w:tcW w:w="4410" w:type="dxa"/>
            <w:tcBorders>
              <w:top w:val="single" w:sz="4" w:space="0" w:color="auto"/>
              <w:left w:val="single" w:sz="4" w:space="0" w:color="auto"/>
              <w:bottom w:val="single" w:sz="4" w:space="0" w:color="auto"/>
              <w:right w:val="single" w:sz="4" w:space="0" w:color="auto"/>
            </w:tcBorders>
          </w:tcPr>
          <w:p w14:paraId="053F7738" w14:textId="77777777" w:rsidR="00F22EFA" w:rsidRPr="0061515C" w:rsidRDefault="0080290B" w:rsidP="00005118">
            <w:pPr>
              <w:numPr>
                <w:ilvl w:val="0"/>
                <w:numId w:val="15"/>
              </w:numPr>
              <w:spacing w:line="276" w:lineRule="auto"/>
              <w:jc w:val="both"/>
              <w:rPr>
                <w:bCs/>
              </w:rPr>
            </w:pPr>
            <w:r w:rsidRPr="0061515C">
              <w:rPr>
                <w:bCs/>
              </w:rPr>
              <w:lastRenderedPageBreak/>
              <w:t xml:space="preserve">Calcule detaliate privind </w:t>
            </w:r>
            <w:r w:rsidR="000831E8" w:rsidRPr="0061515C">
              <w:rPr>
                <w:bCs/>
              </w:rPr>
              <w:t>f</w:t>
            </w:r>
            <w:r w:rsidRPr="0061515C">
              <w:rPr>
                <w:bCs/>
              </w:rPr>
              <w:t>undamentarea modificărilor veniturilor şi/sau cheltuielilor bugetare</w:t>
            </w:r>
          </w:p>
        </w:tc>
        <w:tc>
          <w:tcPr>
            <w:tcW w:w="5423" w:type="dxa"/>
            <w:gridSpan w:val="7"/>
            <w:tcBorders>
              <w:top w:val="single" w:sz="4" w:space="0" w:color="auto"/>
              <w:left w:val="single" w:sz="4" w:space="0" w:color="auto"/>
              <w:bottom w:val="single" w:sz="4" w:space="0" w:color="auto"/>
              <w:right w:val="single" w:sz="4" w:space="0" w:color="auto"/>
            </w:tcBorders>
          </w:tcPr>
          <w:p w14:paraId="6ECD4E19" w14:textId="77777777" w:rsidR="0080290B" w:rsidRPr="0061515C" w:rsidRDefault="00F65CEF" w:rsidP="00904D90">
            <w:pPr>
              <w:rPr>
                <w:bCs/>
              </w:rPr>
            </w:pPr>
            <w:r w:rsidRPr="0061515C">
              <w:rPr>
                <w:bCs/>
                <w:i/>
              </w:rPr>
              <w:t>Nu este cazul.</w:t>
            </w:r>
          </w:p>
        </w:tc>
      </w:tr>
      <w:tr w:rsidR="0080290B" w:rsidRPr="0061515C" w14:paraId="7238D3C9" w14:textId="77777777" w:rsidTr="004F3C12">
        <w:trPr>
          <w:trHeight w:val="331"/>
          <w:jc w:val="center"/>
        </w:trPr>
        <w:tc>
          <w:tcPr>
            <w:tcW w:w="4410" w:type="dxa"/>
            <w:tcBorders>
              <w:top w:val="single" w:sz="4" w:space="0" w:color="auto"/>
              <w:left w:val="single" w:sz="4" w:space="0" w:color="auto"/>
              <w:bottom w:val="single" w:sz="4" w:space="0" w:color="auto"/>
              <w:right w:val="single" w:sz="4" w:space="0" w:color="auto"/>
            </w:tcBorders>
          </w:tcPr>
          <w:p w14:paraId="2C898EB9" w14:textId="77777777" w:rsidR="00F22EFA" w:rsidRPr="0061515C" w:rsidRDefault="0080290B" w:rsidP="00F22EFA">
            <w:pPr>
              <w:numPr>
                <w:ilvl w:val="0"/>
                <w:numId w:val="15"/>
              </w:numPr>
              <w:jc w:val="both"/>
              <w:rPr>
                <w:bCs/>
              </w:rPr>
            </w:pPr>
            <w:r w:rsidRPr="0061515C">
              <w:rPr>
                <w:bCs/>
              </w:rPr>
              <w:t>Alte informaţii</w:t>
            </w:r>
          </w:p>
        </w:tc>
        <w:tc>
          <w:tcPr>
            <w:tcW w:w="5423" w:type="dxa"/>
            <w:gridSpan w:val="7"/>
            <w:tcBorders>
              <w:top w:val="single" w:sz="4" w:space="0" w:color="auto"/>
              <w:left w:val="single" w:sz="4" w:space="0" w:color="auto"/>
              <w:bottom w:val="single" w:sz="4" w:space="0" w:color="auto"/>
              <w:right w:val="single" w:sz="4" w:space="0" w:color="auto"/>
            </w:tcBorders>
          </w:tcPr>
          <w:p w14:paraId="34350CCD" w14:textId="77777777" w:rsidR="00D37BB0" w:rsidRPr="0061515C" w:rsidRDefault="007E6109" w:rsidP="008A4C8E">
            <w:pPr>
              <w:jc w:val="both"/>
              <w:rPr>
                <w:bCs/>
              </w:rPr>
            </w:pPr>
            <w:r w:rsidRPr="0061515C">
              <w:rPr>
                <w:bCs/>
                <w:i/>
              </w:rPr>
              <w:t>Nu au fost identificate.</w:t>
            </w:r>
          </w:p>
        </w:tc>
      </w:tr>
    </w:tbl>
    <w:p w14:paraId="0921B285" w14:textId="77777777" w:rsidR="00CF55CC" w:rsidRPr="0061515C" w:rsidRDefault="00CF55CC" w:rsidP="0080290B"/>
    <w:p w14:paraId="6CCA4C64" w14:textId="77777777" w:rsidR="00480F6F" w:rsidRPr="0061515C" w:rsidRDefault="0080290B" w:rsidP="00480F6F">
      <w:pPr>
        <w:pStyle w:val="Heading8"/>
        <w:numPr>
          <w:ilvl w:val="0"/>
          <w:numId w:val="7"/>
        </w:numPr>
      </w:pPr>
      <w:r w:rsidRPr="0061515C">
        <w:t>Efectele proiectului de act normativ asupra legislaţiei în vigoare</w:t>
      </w:r>
    </w:p>
    <w:p w14:paraId="27E17B63" w14:textId="77777777" w:rsidR="00D37BB0" w:rsidRPr="0061515C" w:rsidRDefault="00D37BB0" w:rsidP="00D37BB0">
      <w:pPr>
        <w:rPr>
          <w:lang w:eastAsia="ro-RO"/>
        </w:rPr>
      </w:pPr>
    </w:p>
    <w:p w14:paraId="10473D8A" w14:textId="77777777" w:rsidR="001D7F95" w:rsidRPr="0061515C" w:rsidRDefault="001D7F95" w:rsidP="00D37BB0">
      <w:pPr>
        <w:rPr>
          <w:lang w:eastAsia="ro-RO"/>
        </w:rPr>
      </w:pPr>
    </w:p>
    <w:tbl>
      <w:tblPr>
        <w:tblW w:w="985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9"/>
        <w:gridCol w:w="5341"/>
      </w:tblGrid>
      <w:tr w:rsidR="0080290B" w:rsidRPr="0061515C" w14:paraId="1688E8E2" w14:textId="77777777" w:rsidTr="00FE01B9">
        <w:trPr>
          <w:jc w:val="center"/>
        </w:trPr>
        <w:tc>
          <w:tcPr>
            <w:tcW w:w="4509" w:type="dxa"/>
            <w:tcBorders>
              <w:top w:val="single" w:sz="4" w:space="0" w:color="auto"/>
              <w:left w:val="single" w:sz="4" w:space="0" w:color="auto"/>
              <w:bottom w:val="single" w:sz="4" w:space="0" w:color="auto"/>
              <w:right w:val="single" w:sz="4" w:space="0" w:color="auto"/>
            </w:tcBorders>
          </w:tcPr>
          <w:p w14:paraId="18108FEE" w14:textId="77777777" w:rsidR="00484E0A" w:rsidRPr="0061515C" w:rsidRDefault="002E5D57" w:rsidP="00005118">
            <w:pPr>
              <w:spacing w:line="276" w:lineRule="auto"/>
              <w:jc w:val="both"/>
              <w:rPr>
                <w:bCs/>
              </w:rPr>
            </w:pPr>
            <w:r w:rsidRPr="0061515C">
              <w:rPr>
                <w:bCs/>
              </w:rPr>
              <w:t>1.Măsuri normative necesare pentru aplicarea prevederilor actului normativ:</w:t>
            </w:r>
          </w:p>
          <w:p w14:paraId="4E6E6B29" w14:textId="77777777" w:rsidR="002E5D57" w:rsidRPr="0061515C" w:rsidRDefault="002E5D57" w:rsidP="00005118">
            <w:pPr>
              <w:spacing w:line="276" w:lineRule="auto"/>
              <w:jc w:val="both"/>
              <w:rPr>
                <w:bCs/>
              </w:rPr>
            </w:pPr>
            <w:r w:rsidRPr="0061515C">
              <w:rPr>
                <w:bCs/>
              </w:rPr>
              <w:t>a) acte normative în vigoare ce vor fi modificate sau abrogate, ca urmare a intrării în vigoare a actului normativ;</w:t>
            </w:r>
          </w:p>
          <w:p w14:paraId="7D11EB98" w14:textId="77777777" w:rsidR="007E6109" w:rsidRPr="0061515C" w:rsidRDefault="007E6109" w:rsidP="00005118">
            <w:pPr>
              <w:spacing w:line="276" w:lineRule="auto"/>
              <w:jc w:val="both"/>
              <w:rPr>
                <w:bCs/>
              </w:rPr>
            </w:pPr>
          </w:p>
          <w:p w14:paraId="33880F0B" w14:textId="77777777" w:rsidR="0080290B" w:rsidRPr="0061515C" w:rsidRDefault="002E5D57" w:rsidP="00005118">
            <w:pPr>
              <w:spacing w:line="276" w:lineRule="auto"/>
              <w:jc w:val="both"/>
              <w:rPr>
                <w:bCs/>
              </w:rPr>
            </w:pPr>
            <w:r w:rsidRPr="0061515C">
              <w:rPr>
                <w:bCs/>
              </w:rPr>
              <w:t>b</w:t>
            </w:r>
            <w:r w:rsidR="004B63E3" w:rsidRPr="0061515C">
              <w:rPr>
                <w:bCs/>
              </w:rPr>
              <w:t>)</w:t>
            </w:r>
            <w:r w:rsidRPr="0061515C">
              <w:rPr>
                <w:bCs/>
              </w:rPr>
              <w:t xml:space="preserve"> acte normative ce urmează a fi elaborate în vederea implementării noilor dispoziţii.</w:t>
            </w:r>
          </w:p>
        </w:tc>
        <w:tc>
          <w:tcPr>
            <w:tcW w:w="5341" w:type="dxa"/>
            <w:tcBorders>
              <w:top w:val="single" w:sz="4" w:space="0" w:color="auto"/>
              <w:left w:val="single" w:sz="4" w:space="0" w:color="auto"/>
              <w:bottom w:val="single" w:sz="4" w:space="0" w:color="auto"/>
              <w:right w:val="single" w:sz="4" w:space="0" w:color="auto"/>
            </w:tcBorders>
          </w:tcPr>
          <w:p w14:paraId="05B5F756" w14:textId="77777777" w:rsidR="002E5D57" w:rsidRPr="0061515C" w:rsidRDefault="00F820FD" w:rsidP="002E5D57">
            <w:pPr>
              <w:rPr>
                <w:bCs/>
                <w:i/>
              </w:rPr>
            </w:pPr>
            <w:r w:rsidRPr="0061515C">
              <w:rPr>
                <w:bCs/>
                <w:i/>
              </w:rPr>
              <w:t>Nu este cazul</w:t>
            </w:r>
          </w:p>
          <w:p w14:paraId="30DE45A8" w14:textId="77777777" w:rsidR="00A11196" w:rsidRPr="0061515C" w:rsidRDefault="00A11196" w:rsidP="002E5D57">
            <w:pPr>
              <w:rPr>
                <w:bCs/>
                <w:i/>
              </w:rPr>
            </w:pPr>
          </w:p>
          <w:p w14:paraId="5A230656" w14:textId="77777777" w:rsidR="00A11196" w:rsidRPr="0061515C" w:rsidRDefault="00A11196" w:rsidP="002E5D57">
            <w:pPr>
              <w:rPr>
                <w:bCs/>
                <w:i/>
              </w:rPr>
            </w:pPr>
          </w:p>
          <w:p w14:paraId="0CB6F5F3" w14:textId="77777777" w:rsidR="007E6109" w:rsidRPr="0061515C" w:rsidRDefault="007E6109" w:rsidP="002E5D57">
            <w:pPr>
              <w:rPr>
                <w:bCs/>
                <w:i/>
              </w:rPr>
            </w:pPr>
          </w:p>
          <w:p w14:paraId="6206238C" w14:textId="77777777" w:rsidR="007E6109" w:rsidRPr="0061515C" w:rsidRDefault="007E6109" w:rsidP="007E6109">
            <w:pPr>
              <w:rPr>
                <w:bCs/>
                <w:i/>
              </w:rPr>
            </w:pPr>
          </w:p>
          <w:p w14:paraId="208E9B83" w14:textId="77777777" w:rsidR="007E6109" w:rsidRPr="0061515C" w:rsidRDefault="007E6109" w:rsidP="007E6109">
            <w:pPr>
              <w:rPr>
                <w:bCs/>
                <w:i/>
              </w:rPr>
            </w:pPr>
          </w:p>
          <w:p w14:paraId="19F0A86A" w14:textId="77777777" w:rsidR="007E6109" w:rsidRPr="0061515C" w:rsidRDefault="007E6109" w:rsidP="007E6109">
            <w:pPr>
              <w:rPr>
                <w:bCs/>
                <w:i/>
              </w:rPr>
            </w:pPr>
          </w:p>
          <w:p w14:paraId="4079AA59" w14:textId="0BAAC645" w:rsidR="007E6109" w:rsidRPr="003A4AE7" w:rsidRDefault="00FC351F" w:rsidP="003A4AE7">
            <w:pPr>
              <w:jc w:val="both"/>
              <w:rPr>
                <w:bCs/>
                <w:iCs/>
              </w:rPr>
            </w:pPr>
            <w:r w:rsidRPr="0061515C">
              <w:rPr>
                <w:bCs/>
                <w:iCs/>
              </w:rPr>
              <w:t xml:space="preserve"> </w:t>
            </w:r>
            <w:r w:rsidR="003A4AE7" w:rsidRPr="0061515C">
              <w:rPr>
                <w:bCs/>
                <w:i/>
              </w:rPr>
              <w:t>Nu este cazul</w:t>
            </w:r>
          </w:p>
        </w:tc>
      </w:tr>
      <w:tr w:rsidR="0080290B" w:rsidRPr="0061515C" w14:paraId="005C0F58" w14:textId="77777777" w:rsidTr="007A1393">
        <w:trPr>
          <w:trHeight w:val="2420"/>
          <w:jc w:val="center"/>
        </w:trPr>
        <w:tc>
          <w:tcPr>
            <w:tcW w:w="4509" w:type="dxa"/>
            <w:tcBorders>
              <w:top w:val="single" w:sz="4" w:space="0" w:color="auto"/>
              <w:left w:val="single" w:sz="4" w:space="0" w:color="auto"/>
              <w:bottom w:val="single" w:sz="4" w:space="0" w:color="auto"/>
              <w:right w:val="single" w:sz="4" w:space="0" w:color="auto"/>
            </w:tcBorders>
          </w:tcPr>
          <w:p w14:paraId="1D5AE3B2" w14:textId="09F5E8FE" w:rsidR="002E5D57" w:rsidRPr="0061515C" w:rsidRDefault="002E5D57" w:rsidP="00005118">
            <w:pPr>
              <w:spacing w:line="276" w:lineRule="auto"/>
              <w:jc w:val="both"/>
              <w:rPr>
                <w:bCs/>
              </w:rPr>
            </w:pPr>
            <w:r w:rsidRPr="0061515C">
              <w:rPr>
                <w:bCs/>
              </w:rPr>
              <w:t>1</w:t>
            </w:r>
            <w:r w:rsidRPr="0061515C">
              <w:rPr>
                <w:bCs/>
                <w:vertAlign w:val="superscript"/>
              </w:rPr>
              <w:t>1</w:t>
            </w:r>
            <w:r w:rsidRPr="0061515C">
              <w:rPr>
                <w:bCs/>
              </w:rPr>
              <w:t>.Compatibilitatea actului normativ cu legislaţia în domeniul achiziţiilor publice:</w:t>
            </w:r>
          </w:p>
          <w:p w14:paraId="42DDE2FB" w14:textId="77777777" w:rsidR="002E5D57" w:rsidRPr="0061515C" w:rsidRDefault="002E5D57" w:rsidP="00005118">
            <w:pPr>
              <w:spacing w:line="276" w:lineRule="auto"/>
              <w:jc w:val="both"/>
              <w:rPr>
                <w:bCs/>
              </w:rPr>
            </w:pPr>
            <w:r w:rsidRPr="0061515C">
              <w:rPr>
                <w:bCs/>
              </w:rPr>
              <w:t>a) impact legislativ - prevederi de modificare şi completare a cadrului normativ în domeniul achiziţiilor publice, prevederi derogatorii;</w:t>
            </w:r>
          </w:p>
          <w:p w14:paraId="55597D51" w14:textId="77777777" w:rsidR="0080290B" w:rsidRPr="0061515C" w:rsidRDefault="002E5D57" w:rsidP="00005118">
            <w:pPr>
              <w:spacing w:line="276" w:lineRule="auto"/>
              <w:jc w:val="both"/>
              <w:rPr>
                <w:bCs/>
              </w:rPr>
            </w:pPr>
            <w:r w:rsidRPr="0061515C">
              <w:rPr>
                <w:bCs/>
              </w:rPr>
              <w:t>b) norme cu impact la nivel operaţional/ tehnic - sisteme electronice utilizate în desfăşurarea procedurilor de achiziţie publică, unităţi centralizate de achiziţii publice, structură organizatorică internă a autorităţilor contractante.</w:t>
            </w:r>
          </w:p>
        </w:tc>
        <w:tc>
          <w:tcPr>
            <w:tcW w:w="5341" w:type="dxa"/>
            <w:tcBorders>
              <w:top w:val="single" w:sz="4" w:space="0" w:color="auto"/>
              <w:left w:val="single" w:sz="4" w:space="0" w:color="auto"/>
              <w:bottom w:val="single" w:sz="4" w:space="0" w:color="auto"/>
              <w:right w:val="single" w:sz="4" w:space="0" w:color="auto"/>
            </w:tcBorders>
          </w:tcPr>
          <w:p w14:paraId="652966DD" w14:textId="77777777" w:rsidR="0080290B" w:rsidRPr="0061515C" w:rsidRDefault="00F820FD" w:rsidP="00904D90">
            <w:pPr>
              <w:rPr>
                <w:bCs/>
                <w:i/>
              </w:rPr>
            </w:pPr>
            <w:r w:rsidRPr="0061515C">
              <w:rPr>
                <w:bCs/>
                <w:i/>
              </w:rPr>
              <w:t>Nu este cazul.</w:t>
            </w:r>
          </w:p>
        </w:tc>
      </w:tr>
      <w:tr w:rsidR="0080290B" w:rsidRPr="0061515C" w14:paraId="5ECCF18D" w14:textId="77777777" w:rsidTr="004F3C12">
        <w:trPr>
          <w:trHeight w:val="799"/>
          <w:jc w:val="center"/>
        </w:trPr>
        <w:tc>
          <w:tcPr>
            <w:tcW w:w="4509" w:type="dxa"/>
            <w:tcBorders>
              <w:top w:val="single" w:sz="4" w:space="0" w:color="auto"/>
              <w:left w:val="single" w:sz="4" w:space="0" w:color="auto"/>
              <w:bottom w:val="single" w:sz="4" w:space="0" w:color="auto"/>
              <w:right w:val="single" w:sz="4" w:space="0" w:color="auto"/>
            </w:tcBorders>
          </w:tcPr>
          <w:p w14:paraId="66C55B63" w14:textId="77777777" w:rsidR="0080290B" w:rsidRPr="0061515C" w:rsidRDefault="002E5D57" w:rsidP="00005118">
            <w:pPr>
              <w:spacing w:line="276" w:lineRule="auto"/>
              <w:jc w:val="both"/>
              <w:rPr>
                <w:bCs/>
              </w:rPr>
            </w:pPr>
            <w:r w:rsidRPr="0061515C">
              <w:rPr>
                <w:bCs/>
              </w:rPr>
              <w:t>2. Conformitatea actului normativ cu legislaţia comunitară în cazul proiectelor ce transpun prevederi comunitare.</w:t>
            </w:r>
          </w:p>
        </w:tc>
        <w:tc>
          <w:tcPr>
            <w:tcW w:w="5341" w:type="dxa"/>
            <w:tcBorders>
              <w:top w:val="single" w:sz="4" w:space="0" w:color="auto"/>
              <w:left w:val="single" w:sz="4" w:space="0" w:color="auto"/>
              <w:bottom w:val="single" w:sz="4" w:space="0" w:color="auto"/>
              <w:right w:val="single" w:sz="4" w:space="0" w:color="auto"/>
            </w:tcBorders>
          </w:tcPr>
          <w:p w14:paraId="3C4FDC8D" w14:textId="77777777" w:rsidR="0080290B" w:rsidRPr="0061515C" w:rsidRDefault="008F3B2E" w:rsidP="00904D90">
            <w:pPr>
              <w:rPr>
                <w:bCs/>
                <w:i/>
              </w:rPr>
            </w:pPr>
            <w:r w:rsidRPr="0061515C">
              <w:rPr>
                <w:bCs/>
                <w:i/>
              </w:rPr>
              <w:t>Nu este cazul.</w:t>
            </w:r>
          </w:p>
        </w:tc>
      </w:tr>
      <w:tr w:rsidR="00E838E2" w:rsidRPr="0061515C" w14:paraId="449E1B60" w14:textId="77777777" w:rsidTr="007A1393">
        <w:trPr>
          <w:trHeight w:val="682"/>
          <w:jc w:val="center"/>
        </w:trPr>
        <w:tc>
          <w:tcPr>
            <w:tcW w:w="4509" w:type="dxa"/>
            <w:tcBorders>
              <w:top w:val="single" w:sz="4" w:space="0" w:color="auto"/>
              <w:left w:val="single" w:sz="4" w:space="0" w:color="auto"/>
              <w:bottom w:val="single" w:sz="4" w:space="0" w:color="auto"/>
              <w:right w:val="single" w:sz="4" w:space="0" w:color="auto"/>
            </w:tcBorders>
          </w:tcPr>
          <w:p w14:paraId="775B9060" w14:textId="77777777" w:rsidR="00E838E2" w:rsidRPr="0061515C" w:rsidRDefault="00E838E2" w:rsidP="00E838E2">
            <w:pPr>
              <w:spacing w:line="276" w:lineRule="auto"/>
              <w:jc w:val="both"/>
              <w:rPr>
                <w:bCs/>
              </w:rPr>
            </w:pPr>
            <w:r w:rsidRPr="0061515C">
              <w:rPr>
                <w:bCs/>
              </w:rPr>
              <w:t>3. Măsuri normative necesare aplicării directe a actelor normative comunitare.</w:t>
            </w:r>
          </w:p>
        </w:tc>
        <w:tc>
          <w:tcPr>
            <w:tcW w:w="5341" w:type="dxa"/>
            <w:tcBorders>
              <w:top w:val="single" w:sz="4" w:space="0" w:color="auto"/>
              <w:left w:val="single" w:sz="4" w:space="0" w:color="auto"/>
              <w:bottom w:val="single" w:sz="4" w:space="0" w:color="auto"/>
              <w:right w:val="single" w:sz="4" w:space="0" w:color="auto"/>
            </w:tcBorders>
          </w:tcPr>
          <w:p w14:paraId="581CBD30" w14:textId="77777777" w:rsidR="003A4AE7" w:rsidRPr="0061515C" w:rsidRDefault="003A4AE7" w:rsidP="003A4AE7">
            <w:pPr>
              <w:rPr>
                <w:bCs/>
                <w:i/>
              </w:rPr>
            </w:pPr>
            <w:r w:rsidRPr="0061515C">
              <w:rPr>
                <w:bCs/>
                <w:i/>
              </w:rPr>
              <w:t>Nu este cazul</w:t>
            </w:r>
          </w:p>
          <w:p w14:paraId="0EBEB122" w14:textId="31850BA6" w:rsidR="00E838E2" w:rsidRPr="0061515C" w:rsidRDefault="00E838E2" w:rsidP="004D790B">
            <w:pPr>
              <w:ind w:left="34"/>
              <w:jc w:val="both"/>
              <w:rPr>
                <w:bCs/>
              </w:rPr>
            </w:pPr>
          </w:p>
        </w:tc>
      </w:tr>
      <w:tr w:rsidR="00E838E2" w:rsidRPr="0061515C" w14:paraId="0787FEA4" w14:textId="77777777" w:rsidTr="00FE01B9">
        <w:trPr>
          <w:jc w:val="center"/>
        </w:trPr>
        <w:tc>
          <w:tcPr>
            <w:tcW w:w="4509" w:type="dxa"/>
            <w:tcBorders>
              <w:top w:val="single" w:sz="4" w:space="0" w:color="auto"/>
              <w:left w:val="single" w:sz="4" w:space="0" w:color="auto"/>
              <w:bottom w:val="single" w:sz="4" w:space="0" w:color="auto"/>
              <w:right w:val="single" w:sz="4" w:space="0" w:color="auto"/>
            </w:tcBorders>
          </w:tcPr>
          <w:p w14:paraId="008D0A4B" w14:textId="77777777" w:rsidR="00E838E2" w:rsidRPr="0061515C" w:rsidRDefault="00E838E2" w:rsidP="00E838E2">
            <w:pPr>
              <w:spacing w:line="276" w:lineRule="auto"/>
              <w:jc w:val="both"/>
              <w:rPr>
                <w:bCs/>
              </w:rPr>
            </w:pPr>
            <w:r w:rsidRPr="0061515C">
              <w:rPr>
                <w:bCs/>
              </w:rPr>
              <w:t>4. Hotărâri ale Curţii de Justiţie a Uniunii Europene (trimiteri la doctrina juridică).</w:t>
            </w:r>
          </w:p>
        </w:tc>
        <w:tc>
          <w:tcPr>
            <w:tcW w:w="5341" w:type="dxa"/>
            <w:tcBorders>
              <w:top w:val="single" w:sz="4" w:space="0" w:color="auto"/>
              <w:left w:val="single" w:sz="4" w:space="0" w:color="auto"/>
              <w:bottom w:val="single" w:sz="4" w:space="0" w:color="auto"/>
              <w:right w:val="single" w:sz="4" w:space="0" w:color="auto"/>
            </w:tcBorders>
          </w:tcPr>
          <w:p w14:paraId="3DD09F9C" w14:textId="77777777" w:rsidR="00E838E2" w:rsidRPr="0061515C" w:rsidRDefault="00E838E2" w:rsidP="00E838E2">
            <w:r w:rsidRPr="0061515C">
              <w:rPr>
                <w:bCs/>
                <w:i/>
              </w:rPr>
              <w:t>Nu este cazul.</w:t>
            </w:r>
          </w:p>
        </w:tc>
      </w:tr>
      <w:tr w:rsidR="00E838E2" w:rsidRPr="0061515C" w14:paraId="6A6A8378" w14:textId="77777777" w:rsidTr="00FE01B9">
        <w:trPr>
          <w:jc w:val="center"/>
        </w:trPr>
        <w:tc>
          <w:tcPr>
            <w:tcW w:w="4509" w:type="dxa"/>
            <w:tcBorders>
              <w:top w:val="single" w:sz="4" w:space="0" w:color="auto"/>
              <w:left w:val="single" w:sz="4" w:space="0" w:color="auto"/>
              <w:bottom w:val="single" w:sz="4" w:space="0" w:color="auto"/>
              <w:right w:val="single" w:sz="4" w:space="0" w:color="auto"/>
            </w:tcBorders>
          </w:tcPr>
          <w:p w14:paraId="074085CA" w14:textId="77777777" w:rsidR="00E838E2" w:rsidRPr="0061515C" w:rsidRDefault="00E838E2" w:rsidP="00E838E2">
            <w:pPr>
              <w:spacing w:line="276" w:lineRule="auto"/>
              <w:jc w:val="both"/>
              <w:rPr>
                <w:bCs/>
              </w:rPr>
            </w:pPr>
            <w:r w:rsidRPr="0061515C">
              <w:rPr>
                <w:bCs/>
              </w:rPr>
              <w:t>5. Alte acte normative şi/sau documente internaţionale din care decurg angajamente.</w:t>
            </w:r>
          </w:p>
        </w:tc>
        <w:tc>
          <w:tcPr>
            <w:tcW w:w="5341" w:type="dxa"/>
            <w:tcBorders>
              <w:top w:val="single" w:sz="4" w:space="0" w:color="auto"/>
              <w:left w:val="single" w:sz="4" w:space="0" w:color="auto"/>
              <w:bottom w:val="single" w:sz="4" w:space="0" w:color="auto"/>
              <w:right w:val="single" w:sz="4" w:space="0" w:color="auto"/>
            </w:tcBorders>
          </w:tcPr>
          <w:p w14:paraId="5159504D" w14:textId="306B863A" w:rsidR="00E838E2" w:rsidRPr="0061515C" w:rsidRDefault="003A4AE7" w:rsidP="00E838E2">
            <w:r>
              <w:rPr>
                <w:bCs/>
                <w:i/>
              </w:rPr>
              <w:t xml:space="preserve">Decizia </w:t>
            </w:r>
            <w:r w:rsidRPr="003A4AE7">
              <w:rPr>
                <w:bCs/>
                <w:i/>
              </w:rPr>
              <w:t>C(2022) 759 final</w:t>
            </w:r>
          </w:p>
        </w:tc>
      </w:tr>
      <w:tr w:rsidR="00E838E2" w:rsidRPr="0061515C" w14:paraId="7A79790A" w14:textId="77777777" w:rsidTr="00A11196">
        <w:trPr>
          <w:trHeight w:val="298"/>
          <w:jc w:val="center"/>
        </w:trPr>
        <w:tc>
          <w:tcPr>
            <w:tcW w:w="4509" w:type="dxa"/>
            <w:tcBorders>
              <w:top w:val="single" w:sz="4" w:space="0" w:color="auto"/>
              <w:left w:val="single" w:sz="4" w:space="0" w:color="auto"/>
              <w:bottom w:val="single" w:sz="4" w:space="0" w:color="auto"/>
              <w:right w:val="single" w:sz="4" w:space="0" w:color="auto"/>
            </w:tcBorders>
          </w:tcPr>
          <w:p w14:paraId="13428935" w14:textId="77777777" w:rsidR="00E838E2" w:rsidRPr="0061515C" w:rsidRDefault="00E838E2" w:rsidP="00E838E2">
            <w:pPr>
              <w:jc w:val="both"/>
              <w:rPr>
                <w:bCs/>
              </w:rPr>
            </w:pPr>
            <w:r w:rsidRPr="0061515C">
              <w:rPr>
                <w:bCs/>
              </w:rPr>
              <w:t>6. Alte informaţii.</w:t>
            </w:r>
          </w:p>
        </w:tc>
        <w:tc>
          <w:tcPr>
            <w:tcW w:w="5341" w:type="dxa"/>
            <w:tcBorders>
              <w:top w:val="single" w:sz="4" w:space="0" w:color="auto"/>
              <w:left w:val="single" w:sz="4" w:space="0" w:color="auto"/>
              <w:bottom w:val="single" w:sz="4" w:space="0" w:color="auto"/>
              <w:right w:val="single" w:sz="4" w:space="0" w:color="auto"/>
            </w:tcBorders>
          </w:tcPr>
          <w:p w14:paraId="7A967E55" w14:textId="77777777" w:rsidR="00E838E2" w:rsidRPr="0061515C" w:rsidRDefault="00E838E2" w:rsidP="00E838E2">
            <w:pPr>
              <w:rPr>
                <w:bCs/>
                <w:i/>
              </w:rPr>
            </w:pPr>
            <w:r w:rsidRPr="0061515C">
              <w:rPr>
                <w:bCs/>
                <w:i/>
              </w:rPr>
              <w:t>Nu au fost identificate.</w:t>
            </w:r>
          </w:p>
        </w:tc>
      </w:tr>
    </w:tbl>
    <w:p w14:paraId="21255FB5" w14:textId="77777777" w:rsidR="00F429AC" w:rsidRPr="0061515C" w:rsidRDefault="00F429AC" w:rsidP="001620C0">
      <w:pPr>
        <w:rPr>
          <w:b/>
        </w:rPr>
      </w:pPr>
    </w:p>
    <w:p w14:paraId="31D56BF6" w14:textId="77777777" w:rsidR="00005118" w:rsidRPr="0061515C" w:rsidRDefault="0080290B" w:rsidP="00005118">
      <w:pPr>
        <w:numPr>
          <w:ilvl w:val="0"/>
          <w:numId w:val="7"/>
        </w:numPr>
        <w:jc w:val="center"/>
        <w:rPr>
          <w:b/>
        </w:rPr>
      </w:pPr>
      <w:r w:rsidRPr="0061515C">
        <w:rPr>
          <w:b/>
        </w:rPr>
        <w:t>Consultările efectuate în vederea elaborării proiectului de act normativ</w:t>
      </w:r>
    </w:p>
    <w:p w14:paraId="639B8199" w14:textId="77777777" w:rsidR="001D7F95" w:rsidRPr="0061515C" w:rsidRDefault="001D7F95" w:rsidP="001D7F95">
      <w:pPr>
        <w:rPr>
          <w:b/>
        </w:rPr>
      </w:pPr>
    </w:p>
    <w:p w14:paraId="5FC7C47D" w14:textId="77777777" w:rsidR="00F429AC" w:rsidRPr="0061515C" w:rsidRDefault="00F429AC" w:rsidP="00F429AC">
      <w:pPr>
        <w:jc w:val="center"/>
        <w:rPr>
          <w:b/>
        </w:rPr>
      </w:pPr>
    </w:p>
    <w:tbl>
      <w:tblPr>
        <w:tblW w:w="9923"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82"/>
        <w:gridCol w:w="5341"/>
      </w:tblGrid>
      <w:tr w:rsidR="009B5F8C" w:rsidRPr="0061515C" w14:paraId="5E4E58F2" w14:textId="77777777" w:rsidTr="00C7147A">
        <w:trPr>
          <w:trHeight w:val="1132"/>
        </w:trPr>
        <w:tc>
          <w:tcPr>
            <w:tcW w:w="4582" w:type="dxa"/>
            <w:tcBorders>
              <w:top w:val="single" w:sz="4" w:space="0" w:color="auto"/>
              <w:left w:val="single" w:sz="4" w:space="0" w:color="auto"/>
              <w:bottom w:val="single" w:sz="4" w:space="0" w:color="auto"/>
              <w:right w:val="single" w:sz="4" w:space="0" w:color="auto"/>
            </w:tcBorders>
          </w:tcPr>
          <w:p w14:paraId="0DC9DD8F" w14:textId="77777777" w:rsidR="009B5F8C" w:rsidRPr="0061515C" w:rsidRDefault="009B5F8C" w:rsidP="009B5F8C">
            <w:pPr>
              <w:numPr>
                <w:ilvl w:val="0"/>
                <w:numId w:val="9"/>
              </w:numPr>
              <w:spacing w:line="276" w:lineRule="auto"/>
              <w:jc w:val="both"/>
              <w:rPr>
                <w:bCs/>
              </w:rPr>
            </w:pPr>
            <w:r w:rsidRPr="0061515C">
              <w:rPr>
                <w:bCs/>
              </w:rPr>
              <w:t>Informaţii privind procesul de consultare cu organizaţii neguvernamentale, institute de cercetare şi alte organisme implicate</w:t>
            </w:r>
          </w:p>
          <w:p w14:paraId="14456AE1" w14:textId="77777777" w:rsidR="009B5F8C" w:rsidRPr="0061515C" w:rsidRDefault="009B5F8C" w:rsidP="009B5F8C">
            <w:pPr>
              <w:jc w:val="both"/>
              <w:rPr>
                <w:bCs/>
              </w:rPr>
            </w:pPr>
          </w:p>
        </w:tc>
        <w:tc>
          <w:tcPr>
            <w:tcW w:w="5341" w:type="dxa"/>
            <w:tcBorders>
              <w:top w:val="single" w:sz="4" w:space="0" w:color="auto"/>
              <w:left w:val="single" w:sz="4" w:space="0" w:color="auto"/>
              <w:bottom w:val="single" w:sz="4" w:space="0" w:color="auto"/>
              <w:right w:val="single" w:sz="4" w:space="0" w:color="auto"/>
            </w:tcBorders>
          </w:tcPr>
          <w:p w14:paraId="1DE110CD" w14:textId="107EF3E2" w:rsidR="009B5F8C" w:rsidRPr="0061515C" w:rsidRDefault="003A4AE7" w:rsidP="003A4AE7">
            <w:pPr>
              <w:jc w:val="both"/>
            </w:pPr>
            <w:r w:rsidRPr="0061515C">
              <w:rPr>
                <w:bCs/>
                <w:i/>
              </w:rPr>
              <w:t>Nu este cazul.</w:t>
            </w:r>
          </w:p>
        </w:tc>
      </w:tr>
      <w:tr w:rsidR="009B5F8C" w:rsidRPr="0061515C" w14:paraId="16307DD2" w14:textId="77777777" w:rsidTr="00C7147A">
        <w:trPr>
          <w:trHeight w:val="1366"/>
        </w:trPr>
        <w:tc>
          <w:tcPr>
            <w:tcW w:w="4582" w:type="dxa"/>
            <w:tcBorders>
              <w:top w:val="single" w:sz="4" w:space="0" w:color="auto"/>
              <w:left w:val="single" w:sz="4" w:space="0" w:color="auto"/>
              <w:bottom w:val="single" w:sz="4" w:space="0" w:color="auto"/>
              <w:right w:val="single" w:sz="4" w:space="0" w:color="auto"/>
            </w:tcBorders>
          </w:tcPr>
          <w:p w14:paraId="7EB718E6" w14:textId="23B01F73" w:rsidR="009B5F8C" w:rsidRPr="0061515C" w:rsidRDefault="009B5F8C" w:rsidP="009B5F8C">
            <w:pPr>
              <w:numPr>
                <w:ilvl w:val="0"/>
                <w:numId w:val="9"/>
              </w:numPr>
              <w:spacing w:line="276" w:lineRule="auto"/>
              <w:jc w:val="both"/>
              <w:rPr>
                <w:bCs/>
              </w:rPr>
            </w:pPr>
            <w:r w:rsidRPr="0061515C">
              <w:rPr>
                <w:bCs/>
              </w:rPr>
              <w:lastRenderedPageBreak/>
              <w:t xml:space="preserve">Fundamentarea alegerii organizaţiilor cu care a avut loc consultarea, precum şi a modului în care activitatea acestor organizaţii este legată de obiectul proiectului de act normativ </w:t>
            </w:r>
          </w:p>
        </w:tc>
        <w:tc>
          <w:tcPr>
            <w:tcW w:w="5341" w:type="dxa"/>
            <w:tcBorders>
              <w:top w:val="single" w:sz="4" w:space="0" w:color="auto"/>
              <w:left w:val="single" w:sz="4" w:space="0" w:color="auto"/>
              <w:bottom w:val="single" w:sz="4" w:space="0" w:color="auto"/>
              <w:right w:val="single" w:sz="4" w:space="0" w:color="auto"/>
            </w:tcBorders>
          </w:tcPr>
          <w:p w14:paraId="5143195A" w14:textId="77777777" w:rsidR="009B5F8C" w:rsidRPr="0061515C" w:rsidRDefault="009B5F8C" w:rsidP="009B5F8C">
            <w:pPr>
              <w:rPr>
                <w:bCs/>
                <w:i/>
              </w:rPr>
            </w:pPr>
            <w:r w:rsidRPr="0061515C">
              <w:rPr>
                <w:bCs/>
                <w:i/>
              </w:rPr>
              <w:t>Nu este cazul.</w:t>
            </w:r>
          </w:p>
        </w:tc>
      </w:tr>
      <w:tr w:rsidR="009B5F8C" w:rsidRPr="0061515C" w14:paraId="4BC9CEC0" w14:textId="77777777" w:rsidTr="004A1930">
        <w:trPr>
          <w:trHeight w:val="619"/>
        </w:trPr>
        <w:tc>
          <w:tcPr>
            <w:tcW w:w="4582" w:type="dxa"/>
            <w:tcBorders>
              <w:top w:val="single" w:sz="4" w:space="0" w:color="auto"/>
              <w:left w:val="single" w:sz="4" w:space="0" w:color="auto"/>
              <w:bottom w:val="single" w:sz="4" w:space="0" w:color="auto"/>
              <w:right w:val="single" w:sz="4" w:space="0" w:color="auto"/>
            </w:tcBorders>
          </w:tcPr>
          <w:p w14:paraId="5D5798E2" w14:textId="77777777" w:rsidR="009B5F8C" w:rsidRPr="0061515C" w:rsidRDefault="009B5F8C" w:rsidP="009B5F8C">
            <w:pPr>
              <w:numPr>
                <w:ilvl w:val="0"/>
                <w:numId w:val="9"/>
              </w:numPr>
              <w:spacing w:line="276" w:lineRule="auto"/>
              <w:jc w:val="both"/>
              <w:rPr>
                <w:bCs/>
              </w:rPr>
            </w:pPr>
            <w:r w:rsidRPr="0061515C">
              <w:rPr>
                <w:bCs/>
              </w:rPr>
              <w:t>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w:t>
            </w:r>
          </w:p>
        </w:tc>
        <w:tc>
          <w:tcPr>
            <w:tcW w:w="5341" w:type="dxa"/>
            <w:tcBorders>
              <w:top w:val="single" w:sz="4" w:space="0" w:color="auto"/>
              <w:left w:val="single" w:sz="4" w:space="0" w:color="auto"/>
              <w:bottom w:val="single" w:sz="4" w:space="0" w:color="auto"/>
              <w:right w:val="single" w:sz="4" w:space="0" w:color="auto"/>
            </w:tcBorders>
          </w:tcPr>
          <w:p w14:paraId="04910DC4" w14:textId="77777777" w:rsidR="009B5F8C" w:rsidRPr="0061515C" w:rsidRDefault="009B5F8C" w:rsidP="009B5F8C">
            <w:pPr>
              <w:rPr>
                <w:bCs/>
                <w:i/>
              </w:rPr>
            </w:pPr>
            <w:r w:rsidRPr="0061515C">
              <w:rPr>
                <w:bCs/>
                <w:i/>
              </w:rPr>
              <w:t>Nu este cazul.</w:t>
            </w:r>
          </w:p>
        </w:tc>
      </w:tr>
      <w:tr w:rsidR="009B5F8C" w:rsidRPr="0061515C" w14:paraId="07E0FE51" w14:textId="77777777" w:rsidTr="005F1B75">
        <w:tc>
          <w:tcPr>
            <w:tcW w:w="4582" w:type="dxa"/>
            <w:tcBorders>
              <w:top w:val="single" w:sz="4" w:space="0" w:color="auto"/>
              <w:left w:val="single" w:sz="4" w:space="0" w:color="auto"/>
              <w:bottom w:val="single" w:sz="4" w:space="0" w:color="auto"/>
              <w:right w:val="single" w:sz="4" w:space="0" w:color="auto"/>
            </w:tcBorders>
          </w:tcPr>
          <w:p w14:paraId="180D7E95" w14:textId="77777777" w:rsidR="009B5F8C" w:rsidRPr="0061515C" w:rsidRDefault="009B5F8C" w:rsidP="009B5F8C">
            <w:pPr>
              <w:numPr>
                <w:ilvl w:val="0"/>
                <w:numId w:val="9"/>
              </w:numPr>
              <w:spacing w:line="276" w:lineRule="auto"/>
              <w:jc w:val="both"/>
              <w:rPr>
                <w:bCs/>
              </w:rPr>
            </w:pPr>
            <w:r w:rsidRPr="0061515C">
              <w:rPr>
                <w:bCs/>
              </w:rPr>
              <w:t xml:space="preserve">Consultările desfăşurate în cadrul consiliilor interministeriale, în conformitate cu prevederile Hotărârii Guvernului nr. 750/2005 privind constituirea consiliilor interministeriale permanente </w:t>
            </w:r>
          </w:p>
        </w:tc>
        <w:tc>
          <w:tcPr>
            <w:tcW w:w="5341" w:type="dxa"/>
            <w:tcBorders>
              <w:top w:val="single" w:sz="4" w:space="0" w:color="auto"/>
              <w:left w:val="single" w:sz="4" w:space="0" w:color="auto"/>
              <w:bottom w:val="single" w:sz="4" w:space="0" w:color="auto"/>
              <w:right w:val="single" w:sz="4" w:space="0" w:color="auto"/>
            </w:tcBorders>
          </w:tcPr>
          <w:p w14:paraId="58BDE402" w14:textId="77777777" w:rsidR="009B5F8C" w:rsidRPr="0061515C" w:rsidRDefault="009B5F8C" w:rsidP="009B5F8C">
            <w:pPr>
              <w:rPr>
                <w:bCs/>
                <w:i/>
              </w:rPr>
            </w:pPr>
            <w:r w:rsidRPr="0061515C">
              <w:rPr>
                <w:bCs/>
                <w:i/>
              </w:rPr>
              <w:t>Nu este cazul.</w:t>
            </w:r>
          </w:p>
        </w:tc>
      </w:tr>
      <w:tr w:rsidR="009B5F8C" w:rsidRPr="0061515C" w14:paraId="27743B10" w14:textId="77777777" w:rsidTr="00B70755">
        <w:trPr>
          <w:trHeight w:val="1570"/>
        </w:trPr>
        <w:tc>
          <w:tcPr>
            <w:tcW w:w="4582" w:type="dxa"/>
            <w:tcBorders>
              <w:top w:val="single" w:sz="4" w:space="0" w:color="auto"/>
              <w:left w:val="single" w:sz="4" w:space="0" w:color="auto"/>
              <w:bottom w:val="single" w:sz="4" w:space="0" w:color="auto"/>
              <w:right w:val="single" w:sz="4" w:space="0" w:color="auto"/>
            </w:tcBorders>
          </w:tcPr>
          <w:p w14:paraId="5D8917E1" w14:textId="77777777" w:rsidR="009B5F8C" w:rsidRPr="0061515C" w:rsidRDefault="009B5F8C" w:rsidP="009B5F8C">
            <w:pPr>
              <w:numPr>
                <w:ilvl w:val="0"/>
                <w:numId w:val="9"/>
              </w:numPr>
              <w:jc w:val="both"/>
              <w:rPr>
                <w:bCs/>
              </w:rPr>
            </w:pPr>
            <w:r w:rsidRPr="0061515C">
              <w:rPr>
                <w:bCs/>
              </w:rPr>
              <w:t>Informaţii privind avizarea de către:</w:t>
            </w:r>
          </w:p>
          <w:p w14:paraId="6F660441" w14:textId="77777777" w:rsidR="009B5F8C" w:rsidRPr="0061515C" w:rsidRDefault="009B5F8C" w:rsidP="009B5F8C">
            <w:pPr>
              <w:numPr>
                <w:ilvl w:val="0"/>
                <w:numId w:val="6"/>
              </w:numPr>
              <w:jc w:val="both"/>
              <w:rPr>
                <w:bCs/>
              </w:rPr>
            </w:pPr>
            <w:r w:rsidRPr="0061515C">
              <w:rPr>
                <w:bCs/>
              </w:rPr>
              <w:t>Consiliul Legislativ</w:t>
            </w:r>
          </w:p>
          <w:p w14:paraId="37BE1292" w14:textId="77777777" w:rsidR="009B5F8C" w:rsidRPr="0061515C" w:rsidRDefault="009B5F8C" w:rsidP="009B5F8C">
            <w:pPr>
              <w:numPr>
                <w:ilvl w:val="0"/>
                <w:numId w:val="6"/>
              </w:numPr>
              <w:jc w:val="both"/>
              <w:rPr>
                <w:bCs/>
              </w:rPr>
            </w:pPr>
            <w:r w:rsidRPr="0061515C">
              <w:rPr>
                <w:bCs/>
              </w:rPr>
              <w:t>Consiliul Suprem de Apărare a Ţării</w:t>
            </w:r>
          </w:p>
          <w:p w14:paraId="11DB46AE" w14:textId="77777777" w:rsidR="009B5F8C" w:rsidRPr="0061515C" w:rsidRDefault="009B5F8C" w:rsidP="009B5F8C">
            <w:pPr>
              <w:numPr>
                <w:ilvl w:val="0"/>
                <w:numId w:val="6"/>
              </w:numPr>
              <w:jc w:val="both"/>
              <w:rPr>
                <w:bCs/>
              </w:rPr>
            </w:pPr>
            <w:r w:rsidRPr="0061515C">
              <w:rPr>
                <w:bCs/>
              </w:rPr>
              <w:t>Consiliul Economic şi Social</w:t>
            </w:r>
          </w:p>
          <w:p w14:paraId="24333A4F" w14:textId="77777777" w:rsidR="009B5F8C" w:rsidRPr="0061515C" w:rsidRDefault="009B5F8C" w:rsidP="009B5F8C">
            <w:pPr>
              <w:numPr>
                <w:ilvl w:val="0"/>
                <w:numId w:val="6"/>
              </w:numPr>
              <w:jc w:val="both"/>
              <w:rPr>
                <w:bCs/>
              </w:rPr>
            </w:pPr>
            <w:r w:rsidRPr="0061515C">
              <w:rPr>
                <w:bCs/>
              </w:rPr>
              <w:t>Consiliul Concurenţei</w:t>
            </w:r>
          </w:p>
          <w:p w14:paraId="5C50ABE9" w14:textId="77777777" w:rsidR="009B5F8C" w:rsidRPr="0061515C" w:rsidRDefault="009B5F8C" w:rsidP="009B5F8C">
            <w:pPr>
              <w:numPr>
                <w:ilvl w:val="0"/>
                <w:numId w:val="6"/>
              </w:numPr>
              <w:jc w:val="both"/>
              <w:rPr>
                <w:bCs/>
              </w:rPr>
            </w:pPr>
            <w:r w:rsidRPr="0061515C">
              <w:rPr>
                <w:bCs/>
              </w:rPr>
              <w:t xml:space="preserve">Curtea de Conturi </w:t>
            </w:r>
          </w:p>
        </w:tc>
        <w:tc>
          <w:tcPr>
            <w:tcW w:w="5341" w:type="dxa"/>
            <w:tcBorders>
              <w:top w:val="single" w:sz="4" w:space="0" w:color="auto"/>
              <w:left w:val="single" w:sz="4" w:space="0" w:color="auto"/>
              <w:bottom w:val="single" w:sz="4" w:space="0" w:color="auto"/>
              <w:right w:val="single" w:sz="4" w:space="0" w:color="auto"/>
            </w:tcBorders>
          </w:tcPr>
          <w:p w14:paraId="1DDFE0DD" w14:textId="57E3E4F3" w:rsidR="009B5F8C" w:rsidRPr="0061515C" w:rsidRDefault="009B5F8C" w:rsidP="009B5F8C">
            <w:pPr>
              <w:spacing w:line="276" w:lineRule="auto"/>
              <w:jc w:val="both"/>
              <w:rPr>
                <w:bCs/>
              </w:rPr>
            </w:pPr>
            <w:r w:rsidRPr="0061515C">
              <w:rPr>
                <w:bCs/>
              </w:rPr>
              <w:t xml:space="preserve">Este necesar avizul Consiliului </w:t>
            </w:r>
            <w:r w:rsidR="003A4AE7">
              <w:rPr>
                <w:bCs/>
              </w:rPr>
              <w:t>Concurenței și Consiliului Legislativ.</w:t>
            </w:r>
          </w:p>
          <w:p w14:paraId="30C2423F" w14:textId="7EA4FD6C" w:rsidR="009B5F8C" w:rsidRPr="0061515C" w:rsidRDefault="009B5F8C" w:rsidP="003A4AE7">
            <w:pPr>
              <w:spacing w:line="276" w:lineRule="auto"/>
              <w:jc w:val="both"/>
              <w:rPr>
                <w:bCs/>
              </w:rPr>
            </w:pPr>
            <w:r w:rsidRPr="0061515C">
              <w:rPr>
                <w:bCs/>
              </w:rPr>
              <w:t xml:space="preserve">Proiectul de act normativ nu necesită avize </w:t>
            </w:r>
            <w:r w:rsidR="0092084B" w:rsidRPr="0061515C">
              <w:rPr>
                <w:bCs/>
              </w:rPr>
              <w:br/>
            </w:r>
            <w:r w:rsidRPr="0061515C">
              <w:rPr>
                <w:bCs/>
              </w:rPr>
              <w:t>de la Consiliul Suprem de Apărare a Ţări</w:t>
            </w:r>
            <w:r w:rsidR="003A4AE7">
              <w:rPr>
                <w:bCs/>
              </w:rPr>
              <w:t>i, Consiliul Economic şi Social</w:t>
            </w:r>
          </w:p>
        </w:tc>
      </w:tr>
      <w:tr w:rsidR="009B5F8C" w:rsidRPr="0061515C" w14:paraId="24FD7914" w14:textId="77777777" w:rsidTr="00B70755">
        <w:trPr>
          <w:trHeight w:val="274"/>
        </w:trPr>
        <w:tc>
          <w:tcPr>
            <w:tcW w:w="4582" w:type="dxa"/>
            <w:tcBorders>
              <w:top w:val="single" w:sz="4" w:space="0" w:color="auto"/>
              <w:left w:val="single" w:sz="4" w:space="0" w:color="auto"/>
              <w:bottom w:val="single" w:sz="4" w:space="0" w:color="auto"/>
              <w:right w:val="single" w:sz="4" w:space="0" w:color="auto"/>
            </w:tcBorders>
          </w:tcPr>
          <w:p w14:paraId="310A95ED" w14:textId="77777777" w:rsidR="009B5F8C" w:rsidRPr="0061515C" w:rsidRDefault="009B5F8C" w:rsidP="009B5F8C">
            <w:pPr>
              <w:numPr>
                <w:ilvl w:val="0"/>
                <w:numId w:val="9"/>
              </w:numPr>
              <w:jc w:val="both"/>
              <w:rPr>
                <w:bCs/>
              </w:rPr>
            </w:pPr>
            <w:r w:rsidRPr="0061515C">
              <w:rPr>
                <w:bCs/>
              </w:rPr>
              <w:t xml:space="preserve">Alte informaţii </w:t>
            </w:r>
          </w:p>
        </w:tc>
        <w:tc>
          <w:tcPr>
            <w:tcW w:w="5341" w:type="dxa"/>
            <w:tcBorders>
              <w:top w:val="single" w:sz="4" w:space="0" w:color="auto"/>
              <w:left w:val="single" w:sz="4" w:space="0" w:color="auto"/>
              <w:bottom w:val="single" w:sz="4" w:space="0" w:color="auto"/>
              <w:right w:val="single" w:sz="4" w:space="0" w:color="auto"/>
            </w:tcBorders>
          </w:tcPr>
          <w:p w14:paraId="7E267904" w14:textId="77777777" w:rsidR="009B5F8C" w:rsidRPr="0061515C" w:rsidRDefault="009B5F8C" w:rsidP="009B5F8C">
            <w:pPr>
              <w:rPr>
                <w:bCs/>
                <w:i/>
              </w:rPr>
            </w:pPr>
            <w:r w:rsidRPr="0061515C">
              <w:rPr>
                <w:bCs/>
                <w:i/>
              </w:rPr>
              <w:t>Nu au fost identificate.</w:t>
            </w:r>
          </w:p>
        </w:tc>
      </w:tr>
    </w:tbl>
    <w:p w14:paraId="2B1ABA07" w14:textId="77777777" w:rsidR="00480F6F" w:rsidRPr="0061515C" w:rsidRDefault="00480F6F" w:rsidP="0080290B">
      <w:pPr>
        <w:rPr>
          <w:b/>
        </w:rPr>
      </w:pPr>
    </w:p>
    <w:p w14:paraId="3B5F5624" w14:textId="77777777" w:rsidR="001D7F95" w:rsidRPr="0061515C" w:rsidRDefault="001D7F95" w:rsidP="0080290B">
      <w:pPr>
        <w:rPr>
          <w:b/>
        </w:rPr>
      </w:pPr>
    </w:p>
    <w:p w14:paraId="53787460" w14:textId="77777777" w:rsidR="009543C0" w:rsidRPr="0061515C" w:rsidRDefault="0080290B" w:rsidP="007159F5">
      <w:pPr>
        <w:numPr>
          <w:ilvl w:val="0"/>
          <w:numId w:val="9"/>
        </w:numPr>
        <w:jc w:val="center"/>
        <w:rPr>
          <w:b/>
        </w:rPr>
      </w:pPr>
      <w:r w:rsidRPr="0061515C">
        <w:rPr>
          <w:b/>
        </w:rPr>
        <w:t xml:space="preserve">Activităţi de informare publică privind elaborarea şi implementarea proiectului de </w:t>
      </w:r>
    </w:p>
    <w:p w14:paraId="4F1563C9" w14:textId="77777777" w:rsidR="00005118" w:rsidRPr="0061515C" w:rsidRDefault="0080290B" w:rsidP="0080290B">
      <w:pPr>
        <w:jc w:val="center"/>
        <w:rPr>
          <w:b/>
        </w:rPr>
      </w:pPr>
      <w:r w:rsidRPr="0061515C">
        <w:rPr>
          <w:b/>
        </w:rPr>
        <w:t>act normativ</w:t>
      </w:r>
    </w:p>
    <w:p w14:paraId="02A1F8DB" w14:textId="77777777" w:rsidR="00F429AC" w:rsidRPr="0061515C" w:rsidRDefault="00F429AC" w:rsidP="0080290B">
      <w:pPr>
        <w:jc w:val="center"/>
        <w:rPr>
          <w:b/>
        </w:rPr>
      </w:pP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3"/>
        <w:gridCol w:w="5386"/>
      </w:tblGrid>
      <w:tr w:rsidR="0080290B" w:rsidRPr="0061515C" w14:paraId="166211E3" w14:textId="77777777" w:rsidTr="00FE01B9">
        <w:tc>
          <w:tcPr>
            <w:tcW w:w="4503" w:type="dxa"/>
            <w:tcBorders>
              <w:top w:val="single" w:sz="4" w:space="0" w:color="auto"/>
              <w:left w:val="single" w:sz="4" w:space="0" w:color="auto"/>
              <w:bottom w:val="single" w:sz="4" w:space="0" w:color="auto"/>
              <w:right w:val="single" w:sz="4" w:space="0" w:color="auto"/>
            </w:tcBorders>
          </w:tcPr>
          <w:p w14:paraId="1AD48D14" w14:textId="77777777" w:rsidR="0080290B" w:rsidRPr="0061515C" w:rsidRDefault="0080290B" w:rsidP="00005118">
            <w:pPr>
              <w:numPr>
                <w:ilvl w:val="0"/>
                <w:numId w:val="10"/>
              </w:numPr>
              <w:spacing w:line="276" w:lineRule="auto"/>
              <w:jc w:val="both"/>
              <w:rPr>
                <w:bCs/>
              </w:rPr>
            </w:pPr>
            <w:r w:rsidRPr="0061515C">
              <w:rPr>
                <w:bCs/>
              </w:rPr>
              <w:t>Informarea societăţii civile cu privire la necesitatea elaborării proiectului de act normativ</w:t>
            </w:r>
          </w:p>
        </w:tc>
        <w:tc>
          <w:tcPr>
            <w:tcW w:w="5386" w:type="dxa"/>
            <w:tcBorders>
              <w:top w:val="single" w:sz="4" w:space="0" w:color="auto"/>
              <w:left w:val="single" w:sz="4" w:space="0" w:color="auto"/>
              <w:bottom w:val="single" w:sz="4" w:space="0" w:color="auto"/>
              <w:right w:val="single" w:sz="4" w:space="0" w:color="auto"/>
            </w:tcBorders>
          </w:tcPr>
          <w:p w14:paraId="6734EF7D" w14:textId="77777777" w:rsidR="0037627A" w:rsidRPr="0061515C" w:rsidRDefault="0037627A" w:rsidP="008D22EA">
            <w:pPr>
              <w:tabs>
                <w:tab w:val="left" w:pos="3960"/>
              </w:tabs>
              <w:suppressAutoHyphens/>
              <w:spacing w:line="276" w:lineRule="auto"/>
              <w:jc w:val="both"/>
            </w:pPr>
            <w:r w:rsidRPr="0061515C">
              <w:t>Proiectul de act normativ a fost publicat pe pagina de web a Ministerului Transporturilor</w:t>
            </w:r>
            <w:r w:rsidR="00D3455B" w:rsidRPr="0061515C">
              <w:t xml:space="preserve"> </w:t>
            </w:r>
            <w:r w:rsidR="0092084B" w:rsidRPr="0061515C">
              <w:br/>
            </w:r>
            <w:r w:rsidR="00D3455B" w:rsidRPr="0061515C">
              <w:t>și Infrastructurii</w:t>
            </w:r>
            <w:r w:rsidRPr="0061515C">
              <w:t xml:space="preserve">. Menționăm că au fost întreprinse demersurile legale prevăzute de art. 7 alin. (1) din Regulamentul privind procedurile, la nivelul Guvernului, pentru elaborarea, avizarea </w:t>
            </w:r>
            <w:r w:rsidR="0092084B" w:rsidRPr="0061515C">
              <w:br/>
            </w:r>
            <w:r w:rsidRPr="0061515C">
              <w:t xml:space="preserve">și prezentarea proiectelor de acte normative spre adoptare, aprobat prin Hotărârea Guvernului </w:t>
            </w:r>
            <w:r w:rsidR="0092084B" w:rsidRPr="0061515C">
              <w:br/>
            </w:r>
            <w:r w:rsidRPr="0061515C">
              <w:t>nr. 561/2009.</w:t>
            </w:r>
          </w:p>
          <w:p w14:paraId="74D47A3B" w14:textId="77777777" w:rsidR="0080290B" w:rsidRPr="0061515C" w:rsidRDefault="0037627A" w:rsidP="00FF68BD">
            <w:pPr>
              <w:spacing w:line="276" w:lineRule="auto"/>
              <w:jc w:val="both"/>
              <w:rPr>
                <w:bCs/>
              </w:rPr>
            </w:pPr>
            <w:r w:rsidRPr="0061515C">
              <w:t xml:space="preserve">Proiectul a îndeplinit procedura prevăzută de Legea nr. 52/2003 privind transparența decizională </w:t>
            </w:r>
            <w:r w:rsidR="0092084B" w:rsidRPr="0061515C">
              <w:br/>
            </w:r>
            <w:r w:rsidRPr="0061515C">
              <w:t>în administrația publică, republicată.</w:t>
            </w:r>
          </w:p>
        </w:tc>
      </w:tr>
      <w:tr w:rsidR="0080290B" w:rsidRPr="0061515C" w14:paraId="3305E74A" w14:textId="77777777" w:rsidTr="004F3C12">
        <w:trPr>
          <w:trHeight w:val="1564"/>
        </w:trPr>
        <w:tc>
          <w:tcPr>
            <w:tcW w:w="4503" w:type="dxa"/>
            <w:tcBorders>
              <w:top w:val="single" w:sz="4" w:space="0" w:color="auto"/>
              <w:left w:val="single" w:sz="4" w:space="0" w:color="auto"/>
              <w:bottom w:val="single" w:sz="4" w:space="0" w:color="auto"/>
              <w:right w:val="single" w:sz="4" w:space="0" w:color="auto"/>
            </w:tcBorders>
          </w:tcPr>
          <w:p w14:paraId="4B54ED08" w14:textId="77777777" w:rsidR="0080290B" w:rsidRPr="0061515C" w:rsidRDefault="0080290B" w:rsidP="00005118">
            <w:pPr>
              <w:numPr>
                <w:ilvl w:val="0"/>
                <w:numId w:val="10"/>
              </w:numPr>
              <w:spacing w:line="276" w:lineRule="auto"/>
              <w:jc w:val="both"/>
              <w:rPr>
                <w:bCs/>
              </w:rPr>
            </w:pPr>
            <w:r w:rsidRPr="0061515C">
              <w:rPr>
                <w:bCs/>
              </w:rPr>
              <w:lastRenderedPageBreak/>
              <w:t>Informarea societăţii civile cu privire la eventualul impact asupra mediului în urma implementării proiectului de act normativ, precum şi efectele asupra sănătăţii şi securităţii cetăţenilor sau diversităţii biologice</w:t>
            </w:r>
          </w:p>
        </w:tc>
        <w:tc>
          <w:tcPr>
            <w:tcW w:w="5386" w:type="dxa"/>
            <w:tcBorders>
              <w:top w:val="single" w:sz="4" w:space="0" w:color="auto"/>
              <w:left w:val="single" w:sz="4" w:space="0" w:color="auto"/>
              <w:bottom w:val="single" w:sz="4" w:space="0" w:color="auto"/>
              <w:right w:val="single" w:sz="4" w:space="0" w:color="auto"/>
            </w:tcBorders>
          </w:tcPr>
          <w:p w14:paraId="14163542" w14:textId="77777777" w:rsidR="0080290B" w:rsidRPr="0061515C" w:rsidRDefault="00AD5A60" w:rsidP="00904D90">
            <w:pPr>
              <w:rPr>
                <w:bCs/>
                <w:i/>
              </w:rPr>
            </w:pPr>
            <w:r w:rsidRPr="0061515C">
              <w:rPr>
                <w:bCs/>
                <w:i/>
              </w:rPr>
              <w:t>Nu este cazul.</w:t>
            </w:r>
          </w:p>
        </w:tc>
      </w:tr>
      <w:tr w:rsidR="0080290B" w:rsidRPr="0061515C" w14:paraId="4B071E03" w14:textId="77777777" w:rsidTr="001D7F95">
        <w:trPr>
          <w:trHeight w:val="484"/>
        </w:trPr>
        <w:tc>
          <w:tcPr>
            <w:tcW w:w="4503" w:type="dxa"/>
            <w:tcBorders>
              <w:top w:val="single" w:sz="4" w:space="0" w:color="auto"/>
              <w:left w:val="single" w:sz="4" w:space="0" w:color="auto"/>
              <w:bottom w:val="single" w:sz="4" w:space="0" w:color="auto"/>
              <w:right w:val="single" w:sz="4" w:space="0" w:color="auto"/>
            </w:tcBorders>
          </w:tcPr>
          <w:p w14:paraId="0486D236" w14:textId="77777777" w:rsidR="0080290B" w:rsidRPr="0061515C" w:rsidRDefault="0080290B" w:rsidP="00904D90">
            <w:pPr>
              <w:numPr>
                <w:ilvl w:val="0"/>
                <w:numId w:val="10"/>
              </w:numPr>
              <w:jc w:val="both"/>
              <w:rPr>
                <w:bCs/>
              </w:rPr>
            </w:pPr>
            <w:r w:rsidRPr="0061515C">
              <w:rPr>
                <w:bCs/>
              </w:rPr>
              <w:t>Alte informaţii</w:t>
            </w:r>
          </w:p>
        </w:tc>
        <w:tc>
          <w:tcPr>
            <w:tcW w:w="5386" w:type="dxa"/>
            <w:tcBorders>
              <w:top w:val="single" w:sz="4" w:space="0" w:color="auto"/>
              <w:left w:val="single" w:sz="4" w:space="0" w:color="auto"/>
              <w:bottom w:val="single" w:sz="4" w:space="0" w:color="auto"/>
              <w:right w:val="single" w:sz="4" w:space="0" w:color="auto"/>
            </w:tcBorders>
          </w:tcPr>
          <w:p w14:paraId="433B0A4E" w14:textId="77777777" w:rsidR="0080290B" w:rsidRPr="0061515C" w:rsidRDefault="00E15D0A" w:rsidP="00904D90">
            <w:pPr>
              <w:rPr>
                <w:bCs/>
                <w:i/>
              </w:rPr>
            </w:pPr>
            <w:r w:rsidRPr="0061515C">
              <w:rPr>
                <w:bCs/>
                <w:i/>
              </w:rPr>
              <w:t>Nu au fost identificate.</w:t>
            </w:r>
          </w:p>
        </w:tc>
      </w:tr>
    </w:tbl>
    <w:p w14:paraId="6B174476" w14:textId="77777777" w:rsidR="001D7F95" w:rsidRPr="0061515C" w:rsidRDefault="001D7F95" w:rsidP="00F0423B">
      <w:pPr>
        <w:tabs>
          <w:tab w:val="left" w:pos="4455"/>
        </w:tabs>
        <w:rPr>
          <w:b/>
        </w:rPr>
      </w:pPr>
    </w:p>
    <w:p w14:paraId="76AA47DE" w14:textId="77777777" w:rsidR="0080290B" w:rsidRPr="0061515C" w:rsidRDefault="0080290B" w:rsidP="0080290B">
      <w:pPr>
        <w:pStyle w:val="Heading4"/>
        <w:numPr>
          <w:ilvl w:val="0"/>
          <w:numId w:val="9"/>
        </w:numPr>
        <w:rPr>
          <w:sz w:val="24"/>
        </w:rPr>
      </w:pPr>
      <w:r w:rsidRPr="0061515C">
        <w:rPr>
          <w:sz w:val="24"/>
        </w:rPr>
        <w:t>Măsuri de implementare</w:t>
      </w:r>
    </w:p>
    <w:p w14:paraId="7D940A27" w14:textId="77777777" w:rsidR="00F429AC" w:rsidRPr="0061515C" w:rsidRDefault="00F429AC" w:rsidP="00F429AC">
      <w:pPr>
        <w:rPr>
          <w:lang w:eastAsia="ro-RO"/>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5"/>
        <w:gridCol w:w="5386"/>
      </w:tblGrid>
      <w:tr w:rsidR="0080290B" w:rsidRPr="0061515C" w14:paraId="32C35536" w14:textId="77777777" w:rsidTr="005C7501">
        <w:trPr>
          <w:trHeight w:val="1699"/>
        </w:trPr>
        <w:tc>
          <w:tcPr>
            <w:tcW w:w="4395" w:type="dxa"/>
            <w:tcBorders>
              <w:top w:val="single" w:sz="4" w:space="0" w:color="auto"/>
              <w:left w:val="single" w:sz="4" w:space="0" w:color="auto"/>
              <w:bottom w:val="single" w:sz="4" w:space="0" w:color="auto"/>
              <w:right w:val="single" w:sz="4" w:space="0" w:color="auto"/>
            </w:tcBorders>
          </w:tcPr>
          <w:p w14:paraId="335679C6" w14:textId="77777777" w:rsidR="0080290B" w:rsidRPr="0061515C" w:rsidRDefault="0080290B" w:rsidP="00005118">
            <w:pPr>
              <w:numPr>
                <w:ilvl w:val="0"/>
                <w:numId w:val="11"/>
              </w:numPr>
              <w:spacing w:line="276" w:lineRule="auto"/>
              <w:jc w:val="both"/>
              <w:rPr>
                <w:bCs/>
              </w:rPr>
            </w:pPr>
            <w:r w:rsidRPr="0061515C">
              <w:rPr>
                <w:bCs/>
              </w:rPr>
              <w:t>Măsuri de punere în aplicare a proiectului de act normativ de către autorităţile administraţiei publice centrale şi/ sau locale – înfiinţarea unor noi organisme sau extinderea competenţelor instituţiilor existente</w:t>
            </w:r>
          </w:p>
        </w:tc>
        <w:tc>
          <w:tcPr>
            <w:tcW w:w="5386" w:type="dxa"/>
            <w:tcBorders>
              <w:top w:val="single" w:sz="4" w:space="0" w:color="auto"/>
              <w:left w:val="single" w:sz="4" w:space="0" w:color="auto"/>
              <w:bottom w:val="single" w:sz="4" w:space="0" w:color="auto"/>
              <w:right w:val="single" w:sz="4" w:space="0" w:color="auto"/>
            </w:tcBorders>
          </w:tcPr>
          <w:p w14:paraId="178A614C" w14:textId="77777777" w:rsidR="0080290B" w:rsidRPr="0061515C" w:rsidRDefault="00F36906" w:rsidP="004B63E3">
            <w:pPr>
              <w:jc w:val="both"/>
              <w:rPr>
                <w:bCs/>
                <w:i/>
              </w:rPr>
            </w:pPr>
            <w:r w:rsidRPr="0061515C">
              <w:rPr>
                <w:bCs/>
                <w:i/>
              </w:rPr>
              <w:t>Nu este cazul.</w:t>
            </w:r>
          </w:p>
        </w:tc>
      </w:tr>
      <w:tr w:rsidR="0080290B" w:rsidRPr="0061515C" w14:paraId="7549C312" w14:textId="77777777" w:rsidTr="001D7F95">
        <w:trPr>
          <w:trHeight w:val="484"/>
        </w:trPr>
        <w:tc>
          <w:tcPr>
            <w:tcW w:w="4395" w:type="dxa"/>
            <w:tcBorders>
              <w:top w:val="single" w:sz="4" w:space="0" w:color="auto"/>
              <w:left w:val="single" w:sz="4" w:space="0" w:color="auto"/>
              <w:bottom w:val="single" w:sz="4" w:space="0" w:color="auto"/>
              <w:right w:val="single" w:sz="4" w:space="0" w:color="auto"/>
            </w:tcBorders>
          </w:tcPr>
          <w:p w14:paraId="0AA8BFBA" w14:textId="77777777" w:rsidR="0080290B" w:rsidRPr="0061515C" w:rsidRDefault="0080290B" w:rsidP="00904D90">
            <w:pPr>
              <w:numPr>
                <w:ilvl w:val="0"/>
                <w:numId w:val="11"/>
              </w:numPr>
              <w:jc w:val="both"/>
              <w:rPr>
                <w:bCs/>
              </w:rPr>
            </w:pPr>
            <w:r w:rsidRPr="0061515C">
              <w:rPr>
                <w:bCs/>
              </w:rPr>
              <w:t>Alte informaţii</w:t>
            </w:r>
          </w:p>
        </w:tc>
        <w:tc>
          <w:tcPr>
            <w:tcW w:w="5386" w:type="dxa"/>
            <w:tcBorders>
              <w:top w:val="single" w:sz="4" w:space="0" w:color="auto"/>
              <w:left w:val="single" w:sz="4" w:space="0" w:color="auto"/>
              <w:bottom w:val="single" w:sz="4" w:space="0" w:color="auto"/>
              <w:right w:val="single" w:sz="4" w:space="0" w:color="auto"/>
            </w:tcBorders>
          </w:tcPr>
          <w:p w14:paraId="06D00483" w14:textId="77777777" w:rsidR="0080290B" w:rsidRPr="0061515C" w:rsidRDefault="00E15D0A" w:rsidP="00F429AC">
            <w:pPr>
              <w:rPr>
                <w:bCs/>
                <w:i/>
              </w:rPr>
            </w:pPr>
            <w:r w:rsidRPr="0061515C">
              <w:rPr>
                <w:bCs/>
                <w:i/>
              </w:rPr>
              <w:t>Nu au fost identificate</w:t>
            </w:r>
          </w:p>
        </w:tc>
      </w:tr>
    </w:tbl>
    <w:p w14:paraId="03854DA3" w14:textId="2999E65A" w:rsidR="00DA079C" w:rsidRPr="003A4AE7" w:rsidRDefault="00DA079C" w:rsidP="003A4AE7">
      <w:pPr>
        <w:jc w:val="both"/>
        <w:rPr>
          <w:b/>
        </w:rPr>
      </w:pPr>
      <w:r w:rsidRPr="0061515C">
        <w:t xml:space="preserve">Pentru considerentele de mai sus, am elaborat proiectul de </w:t>
      </w:r>
      <w:r w:rsidR="003A4AE7" w:rsidRPr="003A4AE7">
        <w:rPr>
          <w:b/>
        </w:rPr>
        <w:t>Ordonanța</w:t>
      </w:r>
      <w:r w:rsidR="003A4AE7">
        <w:rPr>
          <w:b/>
        </w:rPr>
        <w:t xml:space="preserve"> </w:t>
      </w:r>
      <w:r w:rsidR="003A4AE7" w:rsidRPr="003A4AE7">
        <w:rPr>
          <w:b/>
        </w:rPr>
        <w:t xml:space="preserve">de Urgență </w:t>
      </w:r>
      <w:r w:rsidR="003A4AE7">
        <w:rPr>
          <w:b/>
        </w:rPr>
        <w:t xml:space="preserve"> </w:t>
      </w:r>
      <w:r w:rsidR="003A4AE7" w:rsidRPr="003A4AE7">
        <w:rPr>
          <w:b/>
        </w:rPr>
        <w:t>pentru compensarea pierderilor suferite ca urmare a pandemiei COVID-19 de către Societatea Națională de Transport Feroviar de Călători „CFR Călători” – S.A</w:t>
      </w:r>
      <w:r w:rsidR="008A7754" w:rsidRPr="0061515C">
        <w:t xml:space="preserve"> </w:t>
      </w:r>
      <w:r w:rsidRPr="0061515C">
        <w:t>care, în forma prezentată, a fost avizat de ministerele interesate şi pe care îl supunem spre aprobare</w:t>
      </w:r>
      <w:r w:rsidR="007C27BA" w:rsidRPr="0061515C">
        <w:t>.</w:t>
      </w:r>
    </w:p>
    <w:p w14:paraId="42234099" w14:textId="77777777" w:rsidR="00BE39FC" w:rsidRPr="0061515C" w:rsidRDefault="00BE39FC" w:rsidP="0080290B">
      <w:pPr>
        <w:rPr>
          <w:b/>
        </w:rPr>
      </w:pPr>
    </w:p>
    <w:p w14:paraId="7B3CB856" w14:textId="77777777" w:rsidR="003A4AE7" w:rsidRPr="00075884" w:rsidRDefault="003A4AE7" w:rsidP="003A4AE7">
      <w:pPr>
        <w:jc w:val="center"/>
        <w:rPr>
          <w:b/>
        </w:rPr>
      </w:pPr>
    </w:p>
    <w:p w14:paraId="6378A4ED" w14:textId="77777777" w:rsidR="003A4AE7" w:rsidRPr="00075884" w:rsidRDefault="003A4AE7" w:rsidP="003A4AE7">
      <w:pPr>
        <w:spacing w:line="360" w:lineRule="auto"/>
        <w:ind w:left="-20"/>
        <w:jc w:val="center"/>
        <w:rPr>
          <w:b/>
        </w:rPr>
      </w:pPr>
      <w:r w:rsidRPr="00075884">
        <w:rPr>
          <w:b/>
        </w:rPr>
        <w:t>VICEPRIM-MINISTRU</w:t>
      </w:r>
    </w:p>
    <w:p w14:paraId="265C0D10" w14:textId="77777777" w:rsidR="003A4AE7" w:rsidRPr="00075884" w:rsidRDefault="003A4AE7" w:rsidP="003A4AE7">
      <w:pPr>
        <w:spacing w:line="360" w:lineRule="auto"/>
        <w:ind w:left="-20"/>
        <w:jc w:val="center"/>
        <w:rPr>
          <w:b/>
        </w:rPr>
      </w:pPr>
      <w:r w:rsidRPr="00075884">
        <w:rPr>
          <w:b/>
        </w:rPr>
        <w:t>MINISTRUL TRANSPORTURILOR ȘI INFRASTRUCTURII</w:t>
      </w:r>
    </w:p>
    <w:p w14:paraId="346DE70B" w14:textId="77777777" w:rsidR="003A4AE7" w:rsidRPr="00075884" w:rsidRDefault="003A4AE7" w:rsidP="003A4AE7">
      <w:pPr>
        <w:spacing w:line="360" w:lineRule="auto"/>
        <w:ind w:left="-20"/>
        <w:jc w:val="center"/>
        <w:rPr>
          <w:b/>
        </w:rPr>
      </w:pPr>
      <w:r w:rsidRPr="00075884">
        <w:rPr>
          <w:b/>
        </w:rPr>
        <w:t>SORIN MIHAI GRINDEANU</w:t>
      </w:r>
    </w:p>
    <w:p w14:paraId="27E78C11" w14:textId="77777777" w:rsidR="003A4AE7" w:rsidRPr="00075884" w:rsidRDefault="003A4AE7" w:rsidP="003A4AE7">
      <w:pPr>
        <w:spacing w:line="360" w:lineRule="auto"/>
        <w:ind w:left="-20"/>
        <w:jc w:val="center"/>
        <w:rPr>
          <w:b/>
        </w:rPr>
      </w:pPr>
    </w:p>
    <w:p w14:paraId="78F53460" w14:textId="77777777" w:rsidR="003A4AE7" w:rsidRDefault="003A4AE7" w:rsidP="003A4AE7">
      <w:pPr>
        <w:spacing w:line="360" w:lineRule="auto"/>
        <w:ind w:left="-20"/>
        <w:jc w:val="center"/>
        <w:rPr>
          <w:b/>
        </w:rPr>
      </w:pPr>
    </w:p>
    <w:p w14:paraId="4247FAC5" w14:textId="79A73DD1" w:rsidR="003A4AE7" w:rsidRPr="00075884" w:rsidRDefault="003A4AE7" w:rsidP="003A4AE7">
      <w:pPr>
        <w:spacing w:line="360" w:lineRule="auto"/>
        <w:ind w:left="-20"/>
        <w:jc w:val="center"/>
        <w:rPr>
          <w:b/>
        </w:rPr>
      </w:pPr>
    </w:p>
    <w:p w14:paraId="71E73CA9" w14:textId="77777777" w:rsidR="003A4AE7" w:rsidRPr="00075884" w:rsidRDefault="003A4AE7" w:rsidP="003A4AE7">
      <w:pPr>
        <w:jc w:val="center"/>
        <w:rPr>
          <w:b/>
          <w:u w:val="single"/>
        </w:rPr>
      </w:pPr>
      <w:r w:rsidRPr="00075884">
        <w:rPr>
          <w:b/>
          <w:u w:val="single"/>
        </w:rPr>
        <w:t>AVIZĂM:</w:t>
      </w:r>
    </w:p>
    <w:p w14:paraId="4F0F0DEA" w14:textId="77777777" w:rsidR="003A4AE7" w:rsidRPr="00075884" w:rsidRDefault="003A4AE7" w:rsidP="003A4AE7">
      <w:pPr>
        <w:rPr>
          <w:b/>
        </w:rPr>
      </w:pPr>
    </w:p>
    <w:p w14:paraId="0F95A0DA" w14:textId="77777777" w:rsidR="003A4AE7" w:rsidRPr="00075884" w:rsidRDefault="003A4AE7" w:rsidP="003A4AE7">
      <w:pPr>
        <w:rPr>
          <w:b/>
        </w:rPr>
      </w:pPr>
    </w:p>
    <w:p w14:paraId="7A4892AC" w14:textId="77777777" w:rsidR="003A4AE7" w:rsidRPr="00075884" w:rsidRDefault="003A4AE7" w:rsidP="003A4AE7">
      <w:pPr>
        <w:spacing w:line="360" w:lineRule="auto"/>
        <w:jc w:val="center"/>
        <w:rPr>
          <w:b/>
          <w:lang w:val="en-US"/>
        </w:rPr>
      </w:pPr>
      <w:r w:rsidRPr="00075884">
        <w:rPr>
          <w:b/>
          <w:lang w:val="en-US"/>
        </w:rPr>
        <w:t>MINISTRUL FINANȚELOR</w:t>
      </w:r>
    </w:p>
    <w:p w14:paraId="4D2FDBA0" w14:textId="77777777" w:rsidR="003A4AE7" w:rsidRPr="00075884" w:rsidRDefault="003A4AE7" w:rsidP="003A4AE7">
      <w:pPr>
        <w:spacing w:line="360" w:lineRule="auto"/>
        <w:jc w:val="center"/>
        <w:rPr>
          <w:b/>
        </w:rPr>
      </w:pPr>
      <w:r w:rsidRPr="00075884">
        <w:rPr>
          <w:b/>
        </w:rPr>
        <w:t>ADRIAN CÂCIU</w:t>
      </w:r>
    </w:p>
    <w:p w14:paraId="40096ECE" w14:textId="77777777" w:rsidR="003A4AE7" w:rsidRDefault="003A4AE7" w:rsidP="003A4AE7">
      <w:pPr>
        <w:spacing w:line="360" w:lineRule="auto"/>
        <w:jc w:val="center"/>
        <w:rPr>
          <w:b/>
        </w:rPr>
      </w:pPr>
    </w:p>
    <w:p w14:paraId="054744B1" w14:textId="77777777" w:rsidR="005B1F73" w:rsidRPr="00075884" w:rsidRDefault="005B1F73" w:rsidP="003A4AE7">
      <w:pPr>
        <w:spacing w:line="360" w:lineRule="auto"/>
        <w:jc w:val="center"/>
        <w:rPr>
          <w:b/>
        </w:rPr>
      </w:pPr>
    </w:p>
    <w:p w14:paraId="487467A7" w14:textId="77777777" w:rsidR="003A4AE7" w:rsidRPr="00075884" w:rsidRDefault="003A4AE7" w:rsidP="003A4AE7">
      <w:pPr>
        <w:spacing w:line="360" w:lineRule="auto"/>
        <w:jc w:val="center"/>
        <w:rPr>
          <w:b/>
        </w:rPr>
      </w:pPr>
    </w:p>
    <w:p w14:paraId="0BA3F95C" w14:textId="56335D8C" w:rsidR="005F058F" w:rsidRPr="005B1F73" w:rsidRDefault="003A4AE7" w:rsidP="005B1F73">
      <w:pPr>
        <w:spacing w:line="360" w:lineRule="auto"/>
        <w:jc w:val="center"/>
        <w:rPr>
          <w:b/>
          <w:bCs/>
        </w:rPr>
      </w:pPr>
      <w:r w:rsidRPr="00075884">
        <w:rPr>
          <w:b/>
          <w:bCs/>
        </w:rPr>
        <w:t>MINISTRUL JUSTIŢIEI</w:t>
      </w:r>
    </w:p>
    <w:p w14:paraId="6F01AC2E" w14:textId="7D225CF1" w:rsidR="005F058F" w:rsidRPr="0061515C" w:rsidRDefault="005B1F73" w:rsidP="00B4671D">
      <w:pPr>
        <w:jc w:val="center"/>
        <w:rPr>
          <w:b/>
        </w:rPr>
      </w:pPr>
      <w:r w:rsidRPr="005B1F73">
        <w:rPr>
          <w:b/>
        </w:rPr>
        <w:t>MARIAN-CĂTĂLIN PREDOIU</w:t>
      </w:r>
    </w:p>
    <w:p w14:paraId="1C1AF384" w14:textId="77777777" w:rsidR="005F058F" w:rsidRPr="0061515C" w:rsidRDefault="005F058F" w:rsidP="00B4671D">
      <w:pPr>
        <w:jc w:val="center"/>
        <w:rPr>
          <w:b/>
        </w:rPr>
      </w:pPr>
    </w:p>
    <w:p w14:paraId="62D2DB34" w14:textId="77777777" w:rsidR="005F058F" w:rsidRPr="0061515C" w:rsidRDefault="005F058F" w:rsidP="005F058F">
      <w:pPr>
        <w:jc w:val="center"/>
        <w:rPr>
          <w:b/>
          <w:bCs/>
        </w:rPr>
      </w:pPr>
    </w:p>
    <w:p w14:paraId="7938C90C" w14:textId="77777777" w:rsidR="00244E02" w:rsidRDefault="00244E02" w:rsidP="005F058F">
      <w:pPr>
        <w:jc w:val="center"/>
        <w:rPr>
          <w:b/>
          <w:bCs/>
        </w:rPr>
      </w:pPr>
    </w:p>
    <w:p w14:paraId="2A547633" w14:textId="77777777" w:rsidR="005B1F73" w:rsidRPr="0061515C" w:rsidRDefault="005B1F73" w:rsidP="005F058F">
      <w:pPr>
        <w:jc w:val="center"/>
        <w:rPr>
          <w:b/>
          <w:bCs/>
        </w:rPr>
      </w:pPr>
    </w:p>
    <w:p w14:paraId="5A629D62" w14:textId="77777777" w:rsidR="005F058F" w:rsidRDefault="005F058F" w:rsidP="00B4671D">
      <w:pPr>
        <w:jc w:val="center"/>
        <w:rPr>
          <w:b/>
          <w:bCs/>
        </w:rPr>
      </w:pPr>
    </w:p>
    <w:p w14:paraId="58869F17" w14:textId="753E4FA0" w:rsidR="005B1F73" w:rsidRDefault="005B1F73" w:rsidP="005B1F73">
      <w:pPr>
        <w:spacing w:line="360" w:lineRule="auto"/>
        <w:jc w:val="center"/>
        <w:rPr>
          <w:b/>
          <w:color w:val="000000"/>
        </w:rPr>
      </w:pPr>
      <w:r w:rsidRPr="00EC4045">
        <w:rPr>
          <w:b/>
          <w:color w:val="000000"/>
        </w:rPr>
        <w:t>SECRETAR DE STAT</w:t>
      </w:r>
    </w:p>
    <w:p w14:paraId="3F921B1C" w14:textId="257491E9" w:rsidR="005B1F73" w:rsidRDefault="005B1F73" w:rsidP="005B1F73">
      <w:pPr>
        <w:spacing w:line="360" w:lineRule="auto"/>
        <w:jc w:val="center"/>
        <w:rPr>
          <w:b/>
        </w:rPr>
      </w:pPr>
      <w:r>
        <w:rPr>
          <w:b/>
        </w:rPr>
        <w:t>IONUȚ – CRISTIAN  SĂVOIU</w:t>
      </w:r>
    </w:p>
    <w:p w14:paraId="6326CE45" w14:textId="77777777" w:rsidR="005B1F73" w:rsidRPr="00EC4045" w:rsidRDefault="005B1F73" w:rsidP="005B1F73">
      <w:pPr>
        <w:spacing w:line="360" w:lineRule="auto"/>
        <w:jc w:val="center"/>
        <w:rPr>
          <w:b/>
        </w:rPr>
      </w:pPr>
    </w:p>
    <w:p w14:paraId="62C429BF" w14:textId="77777777" w:rsidR="005B1F73" w:rsidRDefault="005B1F73" w:rsidP="005B1F73">
      <w:pPr>
        <w:spacing w:line="360" w:lineRule="auto"/>
        <w:jc w:val="center"/>
        <w:rPr>
          <w:b/>
        </w:rPr>
      </w:pPr>
    </w:p>
    <w:p w14:paraId="6A7462DC" w14:textId="77777777" w:rsidR="005B1F73" w:rsidRDefault="005B1F73" w:rsidP="005B1F73">
      <w:pPr>
        <w:spacing w:line="360" w:lineRule="auto"/>
        <w:jc w:val="center"/>
        <w:rPr>
          <w:b/>
        </w:rPr>
      </w:pPr>
    </w:p>
    <w:p w14:paraId="0E01731B" w14:textId="77777777" w:rsidR="005B1F73" w:rsidRPr="00EC4045" w:rsidRDefault="005B1F73" w:rsidP="005B1F73">
      <w:pPr>
        <w:spacing w:line="360" w:lineRule="auto"/>
        <w:jc w:val="center"/>
        <w:rPr>
          <w:b/>
        </w:rPr>
      </w:pPr>
    </w:p>
    <w:p w14:paraId="1A8267D2" w14:textId="73A9C3D9" w:rsidR="005B1F73" w:rsidRPr="00EC4045" w:rsidRDefault="005B1F73" w:rsidP="005B1F73">
      <w:pPr>
        <w:spacing w:line="360" w:lineRule="auto"/>
        <w:jc w:val="center"/>
        <w:rPr>
          <w:b/>
        </w:rPr>
      </w:pPr>
      <w:r>
        <w:rPr>
          <w:b/>
        </w:rPr>
        <w:t>SECRETAR GENERAL</w:t>
      </w:r>
    </w:p>
    <w:p w14:paraId="17D59831" w14:textId="38A039AB" w:rsidR="005B1F73" w:rsidRPr="00EC4045" w:rsidRDefault="005B1F73" w:rsidP="005B1F73">
      <w:pPr>
        <w:spacing w:line="360" w:lineRule="auto"/>
        <w:jc w:val="center"/>
        <w:rPr>
          <w:b/>
        </w:rPr>
      </w:pPr>
      <w:r w:rsidRPr="00EC4045">
        <w:rPr>
          <w:b/>
        </w:rPr>
        <w:t>MARIANA IONIȚĂ</w:t>
      </w:r>
    </w:p>
    <w:p w14:paraId="68A99CD6" w14:textId="77777777" w:rsidR="005B1F73" w:rsidRDefault="005B1F73" w:rsidP="005B1F73">
      <w:pPr>
        <w:spacing w:line="360" w:lineRule="auto"/>
        <w:jc w:val="center"/>
        <w:rPr>
          <w:b/>
        </w:rPr>
      </w:pPr>
    </w:p>
    <w:p w14:paraId="4DF2A944" w14:textId="77777777" w:rsidR="005B1F73" w:rsidRPr="00EC4045" w:rsidRDefault="005B1F73" w:rsidP="005B1F73">
      <w:pPr>
        <w:spacing w:line="360" w:lineRule="auto"/>
        <w:jc w:val="center"/>
        <w:rPr>
          <w:b/>
        </w:rPr>
      </w:pPr>
    </w:p>
    <w:p w14:paraId="3C4C7CB0" w14:textId="77777777" w:rsidR="005B1F73" w:rsidRPr="00EC4045" w:rsidRDefault="005B1F73" w:rsidP="005B1F73">
      <w:pPr>
        <w:spacing w:line="360" w:lineRule="auto"/>
        <w:jc w:val="center"/>
        <w:rPr>
          <w:b/>
        </w:rPr>
      </w:pPr>
    </w:p>
    <w:p w14:paraId="5D584148" w14:textId="5AAE4405" w:rsidR="005B1F73" w:rsidRPr="00EC4045" w:rsidRDefault="005B1F73" w:rsidP="005B1F73">
      <w:pPr>
        <w:spacing w:line="360" w:lineRule="auto"/>
        <w:jc w:val="center"/>
        <w:rPr>
          <w:b/>
        </w:rPr>
      </w:pPr>
      <w:r>
        <w:rPr>
          <w:b/>
        </w:rPr>
        <w:t>SECRETAR GENERAL  ADJUNCT</w:t>
      </w:r>
    </w:p>
    <w:p w14:paraId="1DCD3CBA" w14:textId="749BE9B1" w:rsidR="005B1F73" w:rsidRPr="00EC4045" w:rsidRDefault="005B1F73" w:rsidP="005B1F73">
      <w:pPr>
        <w:spacing w:line="360" w:lineRule="auto"/>
        <w:jc w:val="center"/>
      </w:pPr>
      <w:r w:rsidRPr="00EC4045">
        <w:rPr>
          <w:b/>
        </w:rPr>
        <w:t>ADRIAN  DANIEL  GĂVRUȚA</w:t>
      </w:r>
    </w:p>
    <w:p w14:paraId="659F6FAE" w14:textId="77777777" w:rsidR="005B1F73" w:rsidRDefault="005B1F73" w:rsidP="005B1F73">
      <w:pPr>
        <w:spacing w:line="360" w:lineRule="auto"/>
        <w:jc w:val="center"/>
      </w:pPr>
    </w:p>
    <w:p w14:paraId="71546247" w14:textId="77777777" w:rsidR="005B1F73" w:rsidRDefault="005B1F73" w:rsidP="005B1F73">
      <w:pPr>
        <w:spacing w:line="360" w:lineRule="auto"/>
        <w:jc w:val="center"/>
      </w:pPr>
    </w:p>
    <w:p w14:paraId="4D4B300F" w14:textId="77777777" w:rsidR="005B1F73" w:rsidRPr="00EC4045" w:rsidRDefault="005B1F73" w:rsidP="005B1F73">
      <w:pPr>
        <w:spacing w:line="360" w:lineRule="auto"/>
        <w:jc w:val="center"/>
      </w:pPr>
    </w:p>
    <w:p w14:paraId="308C4452" w14:textId="77777777" w:rsidR="005B1F73" w:rsidRPr="00EC4045" w:rsidRDefault="005B1F73" w:rsidP="005B1F73">
      <w:pPr>
        <w:spacing w:line="360" w:lineRule="auto"/>
        <w:jc w:val="center"/>
      </w:pPr>
    </w:p>
    <w:p w14:paraId="1025DD07" w14:textId="77777777" w:rsidR="005B1F73" w:rsidRPr="00EC4045" w:rsidRDefault="005B1F73" w:rsidP="005B1F73">
      <w:pPr>
        <w:spacing w:line="360" w:lineRule="auto"/>
        <w:jc w:val="center"/>
        <w:rPr>
          <w:b/>
          <w:bCs/>
        </w:rPr>
      </w:pPr>
      <w:r w:rsidRPr="00EC4045">
        <w:rPr>
          <w:b/>
          <w:bCs/>
        </w:rPr>
        <w:t>DIRECŢIA AVIZARE</w:t>
      </w:r>
    </w:p>
    <w:p w14:paraId="179D03DA" w14:textId="77777777" w:rsidR="005B1F73" w:rsidRPr="00EC4045" w:rsidRDefault="005B1F73" w:rsidP="005B1F73">
      <w:pPr>
        <w:spacing w:line="360" w:lineRule="auto"/>
        <w:jc w:val="center"/>
        <w:rPr>
          <w:b/>
        </w:rPr>
      </w:pPr>
      <w:r w:rsidRPr="00EC4045">
        <w:rPr>
          <w:b/>
        </w:rPr>
        <w:t>DIRECTOR,</w:t>
      </w:r>
    </w:p>
    <w:p w14:paraId="7DA97F69" w14:textId="77777777" w:rsidR="005B1F73" w:rsidRPr="00EC4045" w:rsidRDefault="005B1F73" w:rsidP="005B1F73">
      <w:pPr>
        <w:spacing w:line="360" w:lineRule="auto"/>
        <w:jc w:val="center"/>
        <w:rPr>
          <w:b/>
        </w:rPr>
      </w:pPr>
      <w:r w:rsidRPr="00EC4045">
        <w:rPr>
          <w:b/>
        </w:rPr>
        <w:t>LAURA ȚOPA</w:t>
      </w:r>
    </w:p>
    <w:p w14:paraId="6A89C857" w14:textId="77777777" w:rsidR="005B1F73" w:rsidRPr="00EC4045" w:rsidRDefault="005B1F73" w:rsidP="005B1F73">
      <w:pPr>
        <w:spacing w:line="360" w:lineRule="auto"/>
        <w:jc w:val="center"/>
        <w:rPr>
          <w:b/>
        </w:rPr>
      </w:pPr>
    </w:p>
    <w:p w14:paraId="42D7B2B5" w14:textId="77777777" w:rsidR="005B1F73" w:rsidRPr="00EC4045" w:rsidRDefault="005B1F73" w:rsidP="005B1F73">
      <w:pPr>
        <w:spacing w:line="360" w:lineRule="auto"/>
        <w:jc w:val="center"/>
        <w:rPr>
          <w:b/>
        </w:rPr>
      </w:pPr>
    </w:p>
    <w:p w14:paraId="0CDF9751" w14:textId="77777777" w:rsidR="005B1F73" w:rsidRPr="00EC4045" w:rsidRDefault="005B1F73" w:rsidP="005B1F73">
      <w:pPr>
        <w:spacing w:line="360" w:lineRule="auto"/>
        <w:jc w:val="center"/>
        <w:rPr>
          <w:b/>
        </w:rPr>
      </w:pPr>
    </w:p>
    <w:p w14:paraId="78BCBF89" w14:textId="1C61261C" w:rsidR="005B1F73" w:rsidRDefault="005B1F73" w:rsidP="005B1F73">
      <w:pPr>
        <w:spacing w:line="360" w:lineRule="auto"/>
        <w:jc w:val="center"/>
        <w:rPr>
          <w:b/>
        </w:rPr>
      </w:pPr>
      <w:r w:rsidRPr="00EC4045">
        <w:rPr>
          <w:b/>
        </w:rPr>
        <w:t>DIRECŢIA ECONOMICĂ</w:t>
      </w:r>
    </w:p>
    <w:p w14:paraId="7C0CE50D" w14:textId="7C31D8D9" w:rsidR="005B1F73" w:rsidRPr="00EC4045" w:rsidRDefault="005B1F73" w:rsidP="005B1F73">
      <w:pPr>
        <w:spacing w:line="360" w:lineRule="auto"/>
        <w:jc w:val="center"/>
        <w:rPr>
          <w:b/>
        </w:rPr>
      </w:pPr>
      <w:r>
        <w:rPr>
          <w:b/>
        </w:rPr>
        <w:t>DIRECTOR</w:t>
      </w:r>
    </w:p>
    <w:p w14:paraId="15BC0E59" w14:textId="77777777" w:rsidR="005B1F73" w:rsidRDefault="005B1F73" w:rsidP="005B1F73">
      <w:pPr>
        <w:spacing w:line="360" w:lineRule="auto"/>
        <w:jc w:val="center"/>
        <w:rPr>
          <w:b/>
        </w:rPr>
      </w:pPr>
      <w:r>
        <w:rPr>
          <w:b/>
        </w:rPr>
        <w:t>LAURA GIRLĂ</w:t>
      </w:r>
    </w:p>
    <w:p w14:paraId="6A7F3217" w14:textId="77777777" w:rsidR="005B1F73" w:rsidRDefault="005B1F73" w:rsidP="005B1F73">
      <w:pPr>
        <w:spacing w:line="360" w:lineRule="auto"/>
        <w:jc w:val="center"/>
        <w:rPr>
          <w:b/>
        </w:rPr>
      </w:pPr>
    </w:p>
    <w:p w14:paraId="587F8970" w14:textId="77777777" w:rsidR="005B1F73" w:rsidRDefault="005B1F73" w:rsidP="005B1F73">
      <w:pPr>
        <w:spacing w:line="360" w:lineRule="auto"/>
        <w:jc w:val="center"/>
        <w:rPr>
          <w:b/>
        </w:rPr>
      </w:pPr>
    </w:p>
    <w:p w14:paraId="2CB17A51" w14:textId="77777777" w:rsidR="005B1F73" w:rsidRDefault="005B1F73" w:rsidP="005B1F73">
      <w:pPr>
        <w:spacing w:line="360" w:lineRule="auto"/>
        <w:jc w:val="center"/>
        <w:rPr>
          <w:b/>
        </w:rPr>
      </w:pPr>
    </w:p>
    <w:p w14:paraId="721DF970" w14:textId="77777777" w:rsidR="005B1F73" w:rsidRPr="00EC4045" w:rsidRDefault="005B1F73" w:rsidP="005B1F73">
      <w:pPr>
        <w:spacing w:line="360" w:lineRule="auto"/>
        <w:jc w:val="center"/>
        <w:rPr>
          <w:b/>
          <w:color w:val="FF0000"/>
        </w:rPr>
      </w:pPr>
      <w:r w:rsidRPr="00EC4045">
        <w:rPr>
          <w:b/>
        </w:rPr>
        <w:t xml:space="preserve">DIRECŢIA TRANSPORT </w:t>
      </w:r>
      <w:r>
        <w:rPr>
          <w:b/>
        </w:rPr>
        <w:t>FEROVIAR</w:t>
      </w:r>
    </w:p>
    <w:p w14:paraId="02F7320E" w14:textId="3715CDC2" w:rsidR="005B1F73" w:rsidRPr="00EC4045" w:rsidRDefault="005B1F73" w:rsidP="005B1F73">
      <w:pPr>
        <w:spacing w:line="360" w:lineRule="auto"/>
        <w:jc w:val="center"/>
        <w:rPr>
          <w:b/>
        </w:rPr>
      </w:pPr>
      <w:r>
        <w:rPr>
          <w:b/>
        </w:rPr>
        <w:t>DIRECTOR</w:t>
      </w:r>
    </w:p>
    <w:p w14:paraId="6047FA02" w14:textId="77777777" w:rsidR="005B1F73" w:rsidRDefault="005B1F73" w:rsidP="005B1F73">
      <w:pPr>
        <w:spacing w:line="360" w:lineRule="auto"/>
        <w:jc w:val="center"/>
        <w:rPr>
          <w:b/>
        </w:rPr>
      </w:pPr>
      <w:r>
        <w:rPr>
          <w:b/>
        </w:rPr>
        <w:t>DRAGOȘ  ANOAICA</w:t>
      </w:r>
    </w:p>
    <w:p w14:paraId="2FAE46B9" w14:textId="77777777" w:rsidR="005B1F73" w:rsidRDefault="005B1F73" w:rsidP="005B1F73">
      <w:pPr>
        <w:spacing w:line="360" w:lineRule="auto"/>
        <w:jc w:val="center"/>
        <w:rPr>
          <w:b/>
        </w:rPr>
      </w:pPr>
    </w:p>
    <w:p w14:paraId="5F03DB86" w14:textId="61FA406E" w:rsidR="003A4AE7" w:rsidRPr="0061515C" w:rsidRDefault="003A4AE7" w:rsidP="005B1F73">
      <w:pPr>
        <w:spacing w:line="360" w:lineRule="auto"/>
        <w:jc w:val="center"/>
        <w:rPr>
          <w:b/>
        </w:rPr>
      </w:pPr>
    </w:p>
    <w:sectPr w:rsidR="003A4AE7" w:rsidRPr="0061515C" w:rsidSect="0061515C">
      <w:pgSz w:w="11907" w:h="16840" w:code="9"/>
      <w:pgMar w:top="1134" w:right="1134" w:bottom="1134" w:left="1134" w:header="862" w:footer="8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08514" w14:textId="77777777" w:rsidR="0034437C" w:rsidRDefault="0034437C">
      <w:r>
        <w:separator/>
      </w:r>
    </w:p>
  </w:endnote>
  <w:endnote w:type="continuationSeparator" w:id="0">
    <w:p w14:paraId="5B320F00" w14:textId="77777777" w:rsidR="0034437C" w:rsidRDefault="0034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CA0B3" w14:textId="77777777" w:rsidR="0034437C" w:rsidRDefault="0034437C">
      <w:r>
        <w:separator/>
      </w:r>
    </w:p>
  </w:footnote>
  <w:footnote w:type="continuationSeparator" w:id="0">
    <w:p w14:paraId="070DA24A" w14:textId="77777777" w:rsidR="0034437C" w:rsidRDefault="00344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545"/>
    <w:multiLevelType w:val="hybridMultilevel"/>
    <w:tmpl w:val="5C3A8D38"/>
    <w:lvl w:ilvl="0" w:tplc="915C221E">
      <w:start w:val="1"/>
      <w:numFmt w:val="lowerLetter"/>
      <w:lvlText w:val="%1)"/>
      <w:lvlJc w:val="left"/>
      <w:pPr>
        <w:tabs>
          <w:tab w:val="num" w:pos="680"/>
        </w:tabs>
        <w:ind w:left="680" w:hanging="34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E25CF3"/>
    <w:multiLevelType w:val="hybridMultilevel"/>
    <w:tmpl w:val="9C1E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D7254"/>
    <w:multiLevelType w:val="hybridMultilevel"/>
    <w:tmpl w:val="99D04ABE"/>
    <w:lvl w:ilvl="0" w:tplc="30D6D810">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5290"/>
    <w:multiLevelType w:val="hybridMultilevel"/>
    <w:tmpl w:val="26328EE0"/>
    <w:lvl w:ilvl="0" w:tplc="724C4B6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3387DE5"/>
    <w:multiLevelType w:val="hybridMultilevel"/>
    <w:tmpl w:val="8E96AD0C"/>
    <w:lvl w:ilvl="0" w:tplc="9DC8B1C4">
      <w:start w:val="1"/>
      <w:numFmt w:val="decimal"/>
      <w:lvlText w:val="%1."/>
      <w:lvlJc w:val="left"/>
      <w:pPr>
        <w:tabs>
          <w:tab w:val="num" w:pos="340"/>
        </w:tabs>
        <w:ind w:left="0" w:firstLine="0"/>
      </w:pPr>
      <w:rPr>
        <w:rFonts w:hint="default"/>
      </w:rPr>
    </w:lvl>
    <w:lvl w:ilvl="1" w:tplc="2EF4C23A">
      <w:start w:val="1"/>
      <w:numFmt w:val="lowerLetter"/>
      <w:lvlText w:val="%2)"/>
      <w:lvlJc w:val="left"/>
      <w:pPr>
        <w:tabs>
          <w:tab w:val="num" w:pos="680"/>
        </w:tabs>
        <w:ind w:left="680" w:hanging="340"/>
      </w:pPr>
      <w:rPr>
        <w:rFonts w:hint="default"/>
      </w:rPr>
    </w:lvl>
    <w:lvl w:ilvl="2" w:tplc="AF142BE2">
      <w:start w:val="1"/>
      <w:numFmt w:val="lowerRoman"/>
      <w:lvlText w:val="(%3)"/>
      <w:lvlJc w:val="left"/>
      <w:pPr>
        <w:tabs>
          <w:tab w:val="num" w:pos="1021"/>
        </w:tabs>
        <w:ind w:left="680" w:firstLine="0"/>
      </w:pPr>
      <w:rPr>
        <w:rFonts w:hint="default"/>
      </w:rPr>
    </w:lvl>
    <w:lvl w:ilvl="3" w:tplc="7D86FCCA">
      <w:start w:val="1"/>
      <w:numFmt w:val="lowerLetter"/>
      <w:lvlText w:val="%4)"/>
      <w:lvlJc w:val="left"/>
      <w:pPr>
        <w:tabs>
          <w:tab w:val="num" w:pos="680"/>
        </w:tabs>
        <w:ind w:left="680" w:hanging="340"/>
      </w:pPr>
      <w:rPr>
        <w:rFonts w:hint="default"/>
      </w:rPr>
    </w:lvl>
    <w:lvl w:ilvl="4" w:tplc="5DEEF28A">
      <w:start w:val="1"/>
      <w:numFmt w:val="lowerRoman"/>
      <w:lvlText w:val="(%5)"/>
      <w:lvlJc w:val="left"/>
      <w:pPr>
        <w:tabs>
          <w:tab w:val="num" w:pos="1021"/>
        </w:tabs>
        <w:ind w:left="680" w:firstLine="0"/>
      </w:pPr>
      <w:rPr>
        <w:rFonts w:hint="default"/>
      </w:rPr>
    </w:lvl>
    <w:lvl w:ilvl="5" w:tplc="B344C950">
      <w:start w:val="1"/>
      <w:numFmt w:val="bullet"/>
      <w:lvlText w:val="-"/>
      <w:lvlJc w:val="left"/>
      <w:pPr>
        <w:tabs>
          <w:tab w:val="num" w:pos="680"/>
        </w:tabs>
        <w:ind w:left="680" w:hanging="283"/>
      </w:pPr>
      <w:rPr>
        <w:rFonts w:ascii="Times New Roman" w:eastAsia="Times New Roman" w:hAnsi="Times New Roman" w:cs="Times New Roman" w:hint="default"/>
      </w:r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7EE462C"/>
    <w:multiLevelType w:val="hybridMultilevel"/>
    <w:tmpl w:val="377C0F70"/>
    <w:lvl w:ilvl="0" w:tplc="5BCE787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DD24528"/>
    <w:multiLevelType w:val="hybridMultilevel"/>
    <w:tmpl w:val="C69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75BF7"/>
    <w:multiLevelType w:val="hybridMultilevel"/>
    <w:tmpl w:val="A424A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F11857"/>
    <w:multiLevelType w:val="hybridMultilevel"/>
    <w:tmpl w:val="E2406F98"/>
    <w:lvl w:ilvl="0" w:tplc="9DC8B1C4">
      <w:start w:val="1"/>
      <w:numFmt w:val="decimal"/>
      <w:lvlText w:val="%1."/>
      <w:lvlJc w:val="left"/>
      <w:pPr>
        <w:tabs>
          <w:tab w:val="num" w:pos="340"/>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24865C3D"/>
    <w:multiLevelType w:val="hybridMultilevel"/>
    <w:tmpl w:val="7C903DAC"/>
    <w:lvl w:ilvl="0" w:tplc="00200880">
      <w:start w:val="4"/>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278F619B"/>
    <w:multiLevelType w:val="hybridMultilevel"/>
    <w:tmpl w:val="51E066A0"/>
    <w:lvl w:ilvl="0" w:tplc="9DC8B1C4">
      <w:start w:val="1"/>
      <w:numFmt w:val="decimal"/>
      <w:lvlText w:val="%1."/>
      <w:lvlJc w:val="left"/>
      <w:pPr>
        <w:tabs>
          <w:tab w:val="num" w:pos="340"/>
        </w:tabs>
        <w:ind w:left="0" w:firstLine="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0F446C4"/>
    <w:multiLevelType w:val="hybridMultilevel"/>
    <w:tmpl w:val="4154C892"/>
    <w:lvl w:ilvl="0" w:tplc="96C21E72">
      <w:start w:val="3"/>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07757"/>
    <w:multiLevelType w:val="hybridMultilevel"/>
    <w:tmpl w:val="12D6EA26"/>
    <w:lvl w:ilvl="0" w:tplc="7334E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11532"/>
    <w:multiLevelType w:val="hybridMultilevel"/>
    <w:tmpl w:val="682240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FDD30CF"/>
    <w:multiLevelType w:val="hybridMultilevel"/>
    <w:tmpl w:val="4204057E"/>
    <w:lvl w:ilvl="0" w:tplc="7CF678B0">
      <w:start w:val="1"/>
      <w:numFmt w:val="lowerRoman"/>
      <w:lvlText w:val="(%1)"/>
      <w:lvlJc w:val="left"/>
      <w:pPr>
        <w:tabs>
          <w:tab w:val="num" w:pos="1021"/>
        </w:tabs>
        <w:ind w:left="68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24A629E"/>
    <w:multiLevelType w:val="hybridMultilevel"/>
    <w:tmpl w:val="181AF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B1229"/>
    <w:multiLevelType w:val="hybridMultilevel"/>
    <w:tmpl w:val="6F323410"/>
    <w:lvl w:ilvl="0" w:tplc="26CE17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33C80"/>
    <w:multiLevelType w:val="hybridMultilevel"/>
    <w:tmpl w:val="1CB24AAE"/>
    <w:lvl w:ilvl="0" w:tplc="9DC8B1C4">
      <w:start w:val="1"/>
      <w:numFmt w:val="decimal"/>
      <w:lvlText w:val="%1."/>
      <w:lvlJc w:val="left"/>
      <w:pPr>
        <w:tabs>
          <w:tab w:val="num" w:pos="340"/>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4B321208"/>
    <w:multiLevelType w:val="hybridMultilevel"/>
    <w:tmpl w:val="B1049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242C2"/>
    <w:multiLevelType w:val="hybridMultilevel"/>
    <w:tmpl w:val="88F24414"/>
    <w:lvl w:ilvl="0" w:tplc="91AE55FE">
      <w:start w:val="1"/>
      <w:numFmt w:val="bullet"/>
      <w:lvlText w:val="-"/>
      <w:lvlJc w:val="left"/>
      <w:pPr>
        <w:ind w:left="955" w:hanging="360"/>
      </w:pPr>
      <w:rPr>
        <w:rFonts w:ascii="Arial" w:eastAsia="Times New Roman" w:hAnsi="Arial" w:cs="Arial" w:hint="default"/>
      </w:rPr>
    </w:lvl>
    <w:lvl w:ilvl="1" w:tplc="04180003" w:tentative="1">
      <w:start w:val="1"/>
      <w:numFmt w:val="bullet"/>
      <w:lvlText w:val="o"/>
      <w:lvlJc w:val="left"/>
      <w:pPr>
        <w:ind w:left="1675" w:hanging="360"/>
      </w:pPr>
      <w:rPr>
        <w:rFonts w:ascii="Courier New" w:hAnsi="Courier New" w:cs="Courier New" w:hint="default"/>
      </w:rPr>
    </w:lvl>
    <w:lvl w:ilvl="2" w:tplc="04180005" w:tentative="1">
      <w:start w:val="1"/>
      <w:numFmt w:val="bullet"/>
      <w:lvlText w:val=""/>
      <w:lvlJc w:val="left"/>
      <w:pPr>
        <w:ind w:left="2395" w:hanging="360"/>
      </w:pPr>
      <w:rPr>
        <w:rFonts w:ascii="Wingdings" w:hAnsi="Wingdings" w:hint="default"/>
      </w:rPr>
    </w:lvl>
    <w:lvl w:ilvl="3" w:tplc="04180001" w:tentative="1">
      <w:start w:val="1"/>
      <w:numFmt w:val="bullet"/>
      <w:lvlText w:val=""/>
      <w:lvlJc w:val="left"/>
      <w:pPr>
        <w:ind w:left="3115" w:hanging="360"/>
      </w:pPr>
      <w:rPr>
        <w:rFonts w:ascii="Symbol" w:hAnsi="Symbol" w:hint="default"/>
      </w:rPr>
    </w:lvl>
    <w:lvl w:ilvl="4" w:tplc="04180003" w:tentative="1">
      <w:start w:val="1"/>
      <w:numFmt w:val="bullet"/>
      <w:lvlText w:val="o"/>
      <w:lvlJc w:val="left"/>
      <w:pPr>
        <w:ind w:left="3835" w:hanging="360"/>
      </w:pPr>
      <w:rPr>
        <w:rFonts w:ascii="Courier New" w:hAnsi="Courier New" w:cs="Courier New" w:hint="default"/>
      </w:rPr>
    </w:lvl>
    <w:lvl w:ilvl="5" w:tplc="04180005" w:tentative="1">
      <w:start w:val="1"/>
      <w:numFmt w:val="bullet"/>
      <w:lvlText w:val=""/>
      <w:lvlJc w:val="left"/>
      <w:pPr>
        <w:ind w:left="4555" w:hanging="360"/>
      </w:pPr>
      <w:rPr>
        <w:rFonts w:ascii="Wingdings" w:hAnsi="Wingdings" w:hint="default"/>
      </w:rPr>
    </w:lvl>
    <w:lvl w:ilvl="6" w:tplc="04180001" w:tentative="1">
      <w:start w:val="1"/>
      <w:numFmt w:val="bullet"/>
      <w:lvlText w:val=""/>
      <w:lvlJc w:val="left"/>
      <w:pPr>
        <w:ind w:left="5275" w:hanging="360"/>
      </w:pPr>
      <w:rPr>
        <w:rFonts w:ascii="Symbol" w:hAnsi="Symbol" w:hint="default"/>
      </w:rPr>
    </w:lvl>
    <w:lvl w:ilvl="7" w:tplc="04180003" w:tentative="1">
      <w:start w:val="1"/>
      <w:numFmt w:val="bullet"/>
      <w:lvlText w:val="o"/>
      <w:lvlJc w:val="left"/>
      <w:pPr>
        <w:ind w:left="5995" w:hanging="360"/>
      </w:pPr>
      <w:rPr>
        <w:rFonts w:ascii="Courier New" w:hAnsi="Courier New" w:cs="Courier New" w:hint="default"/>
      </w:rPr>
    </w:lvl>
    <w:lvl w:ilvl="8" w:tplc="04180005" w:tentative="1">
      <w:start w:val="1"/>
      <w:numFmt w:val="bullet"/>
      <w:lvlText w:val=""/>
      <w:lvlJc w:val="left"/>
      <w:pPr>
        <w:ind w:left="6715" w:hanging="360"/>
      </w:pPr>
      <w:rPr>
        <w:rFonts w:ascii="Wingdings" w:hAnsi="Wingdings" w:hint="default"/>
      </w:rPr>
    </w:lvl>
  </w:abstractNum>
  <w:abstractNum w:abstractNumId="20" w15:restartNumberingAfterBreak="0">
    <w:nsid w:val="4F6D3F0B"/>
    <w:multiLevelType w:val="hybridMultilevel"/>
    <w:tmpl w:val="D5E8BDE2"/>
    <w:lvl w:ilvl="0" w:tplc="9DC8B1C4">
      <w:start w:val="1"/>
      <w:numFmt w:val="decimal"/>
      <w:lvlText w:val="%1."/>
      <w:lvlJc w:val="left"/>
      <w:pPr>
        <w:tabs>
          <w:tab w:val="num" w:pos="340"/>
        </w:tabs>
        <w:ind w:left="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4F8D2D02"/>
    <w:multiLevelType w:val="hybridMultilevel"/>
    <w:tmpl w:val="13760E66"/>
    <w:lvl w:ilvl="0" w:tplc="26CE1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52424"/>
    <w:multiLevelType w:val="hybridMultilevel"/>
    <w:tmpl w:val="6EC28D7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3" w15:restartNumberingAfterBreak="0">
    <w:nsid w:val="52600297"/>
    <w:multiLevelType w:val="hybridMultilevel"/>
    <w:tmpl w:val="F01ADCD0"/>
    <w:lvl w:ilvl="0" w:tplc="5BCE787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700"/>
        </w:tabs>
        <w:ind w:left="2700" w:hanging="360"/>
      </w:pPr>
      <w:rPr>
        <w:rFonts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5CC23BA7"/>
    <w:multiLevelType w:val="hybridMultilevel"/>
    <w:tmpl w:val="ECE838F0"/>
    <w:lvl w:ilvl="0" w:tplc="9036CA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1250D7F"/>
    <w:multiLevelType w:val="hybridMultilevel"/>
    <w:tmpl w:val="CEF061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3D385C"/>
    <w:multiLevelType w:val="hybridMultilevel"/>
    <w:tmpl w:val="5664D612"/>
    <w:lvl w:ilvl="0" w:tplc="64EABBDC">
      <w:start w:val="1"/>
      <w:numFmt w:val="lowerLetter"/>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6F927F14"/>
    <w:multiLevelType w:val="hybridMultilevel"/>
    <w:tmpl w:val="2B8C144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0F37579"/>
    <w:multiLevelType w:val="hybridMultilevel"/>
    <w:tmpl w:val="EBCED612"/>
    <w:lvl w:ilvl="0" w:tplc="0D024A74">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1563B6F"/>
    <w:multiLevelType w:val="hybridMultilevel"/>
    <w:tmpl w:val="2A28CA00"/>
    <w:lvl w:ilvl="0" w:tplc="4A620C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75512"/>
    <w:multiLevelType w:val="hybridMultilevel"/>
    <w:tmpl w:val="EFF8C36A"/>
    <w:lvl w:ilvl="0" w:tplc="7CF678B0">
      <w:start w:val="1"/>
      <w:numFmt w:val="lowerRoman"/>
      <w:lvlText w:val="(%1)"/>
      <w:lvlJc w:val="left"/>
      <w:pPr>
        <w:tabs>
          <w:tab w:val="num" w:pos="1021"/>
        </w:tabs>
        <w:ind w:left="68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766726F4"/>
    <w:multiLevelType w:val="hybridMultilevel"/>
    <w:tmpl w:val="1A6C1BC6"/>
    <w:lvl w:ilvl="0" w:tplc="2BEA1A78">
      <w:start w:val="2"/>
      <w:numFmt w:val="lowerRoman"/>
      <w:lvlText w:val="(%1)"/>
      <w:lvlJc w:val="left"/>
      <w:pPr>
        <w:tabs>
          <w:tab w:val="num" w:pos="1021"/>
        </w:tabs>
        <w:ind w:left="680" w:firstLine="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76E09C4"/>
    <w:multiLevelType w:val="hybridMultilevel"/>
    <w:tmpl w:val="86BE9C18"/>
    <w:lvl w:ilvl="0" w:tplc="066A57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B22E3"/>
    <w:multiLevelType w:val="hybridMultilevel"/>
    <w:tmpl w:val="FD44B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C773C45"/>
    <w:multiLevelType w:val="hybridMultilevel"/>
    <w:tmpl w:val="1BE0ACD0"/>
    <w:lvl w:ilvl="0" w:tplc="37E602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078A0"/>
    <w:multiLevelType w:val="hybridMultilevel"/>
    <w:tmpl w:val="A9EC5598"/>
    <w:lvl w:ilvl="0" w:tplc="7B7474C2">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32"/>
  </w:num>
  <w:num w:numId="4">
    <w:abstractNumId w:val="35"/>
  </w:num>
  <w:num w:numId="5">
    <w:abstractNumId w:val="27"/>
  </w:num>
  <w:num w:numId="6">
    <w:abstractNumId w:val="0"/>
  </w:num>
  <w:num w:numId="7">
    <w:abstractNumId w:val="10"/>
  </w:num>
  <w:num w:numId="8">
    <w:abstractNumId w:val="4"/>
  </w:num>
  <w:num w:numId="9">
    <w:abstractNumId w:val="17"/>
  </w:num>
  <w:num w:numId="10">
    <w:abstractNumId w:val="8"/>
  </w:num>
  <w:num w:numId="11">
    <w:abstractNumId w:val="20"/>
  </w:num>
  <w:num w:numId="12">
    <w:abstractNumId w:val="31"/>
  </w:num>
  <w:num w:numId="13">
    <w:abstractNumId w:val="14"/>
  </w:num>
  <w:num w:numId="14">
    <w:abstractNumId w:val="30"/>
  </w:num>
  <w:num w:numId="15">
    <w:abstractNumId w:val="4"/>
  </w:num>
  <w:num w:numId="16">
    <w:abstractNumId w:val="13"/>
  </w:num>
  <w:num w:numId="17">
    <w:abstractNumId w:val="9"/>
  </w:num>
  <w:num w:numId="18">
    <w:abstractNumId w:val="15"/>
  </w:num>
  <w:num w:numId="19">
    <w:abstractNumId w:val="34"/>
  </w:num>
  <w:num w:numId="20">
    <w:abstractNumId w:val="26"/>
  </w:num>
  <w:num w:numId="21">
    <w:abstractNumId w:val="3"/>
  </w:num>
  <w:num w:numId="22">
    <w:abstractNumId w:val="5"/>
  </w:num>
  <w:num w:numId="23">
    <w:abstractNumId w:val="23"/>
  </w:num>
  <w:num w:numId="24">
    <w:abstractNumId w:val="7"/>
  </w:num>
  <w:num w:numId="25">
    <w:abstractNumId w:val="25"/>
  </w:num>
  <w:num w:numId="26">
    <w:abstractNumId w:val="24"/>
  </w:num>
  <w:num w:numId="27">
    <w:abstractNumId w:val="2"/>
  </w:num>
  <w:num w:numId="28">
    <w:abstractNumId w:val="6"/>
  </w:num>
  <w:num w:numId="29">
    <w:abstractNumId w:val="29"/>
  </w:num>
  <w:num w:numId="30">
    <w:abstractNumId w:val="33"/>
  </w:num>
  <w:num w:numId="31">
    <w:abstractNumId w:val="21"/>
  </w:num>
  <w:num w:numId="32">
    <w:abstractNumId w:val="12"/>
  </w:num>
  <w:num w:numId="33">
    <w:abstractNumId w:val="19"/>
  </w:num>
  <w:num w:numId="34">
    <w:abstractNumId w:val="28"/>
  </w:num>
  <w:num w:numId="35">
    <w:abstractNumId w:val="22"/>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68"/>
    <w:rsid w:val="0000187D"/>
    <w:rsid w:val="000020C8"/>
    <w:rsid w:val="00003DF6"/>
    <w:rsid w:val="00004481"/>
    <w:rsid w:val="00005118"/>
    <w:rsid w:val="00006031"/>
    <w:rsid w:val="00006FF9"/>
    <w:rsid w:val="000100A5"/>
    <w:rsid w:val="00010145"/>
    <w:rsid w:val="00010C3A"/>
    <w:rsid w:val="00012B4E"/>
    <w:rsid w:val="0002399C"/>
    <w:rsid w:val="00024E5A"/>
    <w:rsid w:val="000315CB"/>
    <w:rsid w:val="00031D2F"/>
    <w:rsid w:val="00032733"/>
    <w:rsid w:val="0003334F"/>
    <w:rsid w:val="0003338F"/>
    <w:rsid w:val="000363AD"/>
    <w:rsid w:val="0003642A"/>
    <w:rsid w:val="000372E8"/>
    <w:rsid w:val="00042170"/>
    <w:rsid w:val="00045423"/>
    <w:rsid w:val="00047935"/>
    <w:rsid w:val="00047A2F"/>
    <w:rsid w:val="00051DA9"/>
    <w:rsid w:val="000532F7"/>
    <w:rsid w:val="00054C35"/>
    <w:rsid w:val="00055D9A"/>
    <w:rsid w:val="0006079A"/>
    <w:rsid w:val="0006193D"/>
    <w:rsid w:val="000656C7"/>
    <w:rsid w:val="000727B2"/>
    <w:rsid w:val="000732DE"/>
    <w:rsid w:val="00075A05"/>
    <w:rsid w:val="00076FB0"/>
    <w:rsid w:val="0007717B"/>
    <w:rsid w:val="00077F81"/>
    <w:rsid w:val="00080161"/>
    <w:rsid w:val="000817D1"/>
    <w:rsid w:val="00082B27"/>
    <w:rsid w:val="00083184"/>
    <w:rsid w:val="000831E8"/>
    <w:rsid w:val="00085C7C"/>
    <w:rsid w:val="00086D45"/>
    <w:rsid w:val="00090428"/>
    <w:rsid w:val="000915F7"/>
    <w:rsid w:val="00093C02"/>
    <w:rsid w:val="00095B12"/>
    <w:rsid w:val="00095BAC"/>
    <w:rsid w:val="00095DCD"/>
    <w:rsid w:val="00096222"/>
    <w:rsid w:val="00097EC2"/>
    <w:rsid w:val="000A3BEB"/>
    <w:rsid w:val="000A4148"/>
    <w:rsid w:val="000B006A"/>
    <w:rsid w:val="000B0F93"/>
    <w:rsid w:val="000B1325"/>
    <w:rsid w:val="000B3867"/>
    <w:rsid w:val="000B4979"/>
    <w:rsid w:val="000B7EA1"/>
    <w:rsid w:val="000B7F9C"/>
    <w:rsid w:val="000C67D4"/>
    <w:rsid w:val="000C6C13"/>
    <w:rsid w:val="000D04BD"/>
    <w:rsid w:val="000D11A1"/>
    <w:rsid w:val="000D1AAE"/>
    <w:rsid w:val="000D2E5B"/>
    <w:rsid w:val="000D4E72"/>
    <w:rsid w:val="000D60D7"/>
    <w:rsid w:val="000D7BD9"/>
    <w:rsid w:val="000E564E"/>
    <w:rsid w:val="000F1407"/>
    <w:rsid w:val="000F293D"/>
    <w:rsid w:val="000F3791"/>
    <w:rsid w:val="000F3F7E"/>
    <w:rsid w:val="000F52FF"/>
    <w:rsid w:val="000F7FA9"/>
    <w:rsid w:val="0010111C"/>
    <w:rsid w:val="00101A61"/>
    <w:rsid w:val="00102311"/>
    <w:rsid w:val="00104680"/>
    <w:rsid w:val="00104CFE"/>
    <w:rsid w:val="0011043F"/>
    <w:rsid w:val="001124BB"/>
    <w:rsid w:val="00113CB2"/>
    <w:rsid w:val="001145F6"/>
    <w:rsid w:val="00116BEB"/>
    <w:rsid w:val="00117BC2"/>
    <w:rsid w:val="00120961"/>
    <w:rsid w:val="001238AB"/>
    <w:rsid w:val="00124007"/>
    <w:rsid w:val="0012461B"/>
    <w:rsid w:val="001260A0"/>
    <w:rsid w:val="00126250"/>
    <w:rsid w:val="001278FF"/>
    <w:rsid w:val="001302B7"/>
    <w:rsid w:val="00130EBE"/>
    <w:rsid w:val="00132D57"/>
    <w:rsid w:val="00142C13"/>
    <w:rsid w:val="001444A6"/>
    <w:rsid w:val="00146AAC"/>
    <w:rsid w:val="0015168D"/>
    <w:rsid w:val="00153CA6"/>
    <w:rsid w:val="00154DB9"/>
    <w:rsid w:val="00156C38"/>
    <w:rsid w:val="00156C81"/>
    <w:rsid w:val="00157B81"/>
    <w:rsid w:val="00160B49"/>
    <w:rsid w:val="00161E5B"/>
    <w:rsid w:val="001620C0"/>
    <w:rsid w:val="001622A0"/>
    <w:rsid w:val="001629D8"/>
    <w:rsid w:val="00163C2C"/>
    <w:rsid w:val="00164849"/>
    <w:rsid w:val="00164FE8"/>
    <w:rsid w:val="0017342B"/>
    <w:rsid w:val="00173C8F"/>
    <w:rsid w:val="0017556C"/>
    <w:rsid w:val="00175FED"/>
    <w:rsid w:val="00183987"/>
    <w:rsid w:val="001872A1"/>
    <w:rsid w:val="001873DF"/>
    <w:rsid w:val="00191BDE"/>
    <w:rsid w:val="001933A4"/>
    <w:rsid w:val="001936BA"/>
    <w:rsid w:val="00193B77"/>
    <w:rsid w:val="00193D35"/>
    <w:rsid w:val="0019417B"/>
    <w:rsid w:val="00195B9A"/>
    <w:rsid w:val="001965A9"/>
    <w:rsid w:val="00196829"/>
    <w:rsid w:val="00196EAC"/>
    <w:rsid w:val="001A0837"/>
    <w:rsid w:val="001A0A14"/>
    <w:rsid w:val="001A1BAF"/>
    <w:rsid w:val="001A2286"/>
    <w:rsid w:val="001A22B8"/>
    <w:rsid w:val="001A2A2A"/>
    <w:rsid w:val="001B069D"/>
    <w:rsid w:val="001B0C5F"/>
    <w:rsid w:val="001B148D"/>
    <w:rsid w:val="001B286B"/>
    <w:rsid w:val="001B3BA6"/>
    <w:rsid w:val="001B3E4F"/>
    <w:rsid w:val="001B4E81"/>
    <w:rsid w:val="001B564F"/>
    <w:rsid w:val="001B672B"/>
    <w:rsid w:val="001B708F"/>
    <w:rsid w:val="001C0186"/>
    <w:rsid w:val="001C2A2E"/>
    <w:rsid w:val="001C3A6E"/>
    <w:rsid w:val="001C4C52"/>
    <w:rsid w:val="001C5055"/>
    <w:rsid w:val="001C56F4"/>
    <w:rsid w:val="001C5FCA"/>
    <w:rsid w:val="001C659E"/>
    <w:rsid w:val="001C69D7"/>
    <w:rsid w:val="001D23CE"/>
    <w:rsid w:val="001D3667"/>
    <w:rsid w:val="001D4547"/>
    <w:rsid w:val="001D5319"/>
    <w:rsid w:val="001D637A"/>
    <w:rsid w:val="001D7263"/>
    <w:rsid w:val="001D75AE"/>
    <w:rsid w:val="001D7DEF"/>
    <w:rsid w:val="001D7F95"/>
    <w:rsid w:val="001E002A"/>
    <w:rsid w:val="001E037A"/>
    <w:rsid w:val="001E0CE4"/>
    <w:rsid w:val="001E18FF"/>
    <w:rsid w:val="001E3C11"/>
    <w:rsid w:val="001E3F4C"/>
    <w:rsid w:val="001E42CD"/>
    <w:rsid w:val="001E5154"/>
    <w:rsid w:val="001F3421"/>
    <w:rsid w:val="001F3D07"/>
    <w:rsid w:val="002000EA"/>
    <w:rsid w:val="002004F1"/>
    <w:rsid w:val="00201D60"/>
    <w:rsid w:val="00202708"/>
    <w:rsid w:val="00203B89"/>
    <w:rsid w:val="002048FB"/>
    <w:rsid w:val="00204CDD"/>
    <w:rsid w:val="0020533D"/>
    <w:rsid w:val="002068CC"/>
    <w:rsid w:val="00210456"/>
    <w:rsid w:val="00211B7A"/>
    <w:rsid w:val="00213579"/>
    <w:rsid w:val="00213F62"/>
    <w:rsid w:val="00214438"/>
    <w:rsid w:val="00214746"/>
    <w:rsid w:val="00217F7F"/>
    <w:rsid w:val="0022124F"/>
    <w:rsid w:val="0022351F"/>
    <w:rsid w:val="002241B1"/>
    <w:rsid w:val="00227E7E"/>
    <w:rsid w:val="00231B4E"/>
    <w:rsid w:val="00234889"/>
    <w:rsid w:val="0023587E"/>
    <w:rsid w:val="00235A98"/>
    <w:rsid w:val="00237987"/>
    <w:rsid w:val="00240A24"/>
    <w:rsid w:val="002448E1"/>
    <w:rsid w:val="00244E02"/>
    <w:rsid w:val="0025164B"/>
    <w:rsid w:val="00253B97"/>
    <w:rsid w:val="00262AA3"/>
    <w:rsid w:val="00262B70"/>
    <w:rsid w:val="0026528F"/>
    <w:rsid w:val="00265B07"/>
    <w:rsid w:val="00267064"/>
    <w:rsid w:val="00267EC3"/>
    <w:rsid w:val="0027125A"/>
    <w:rsid w:val="00271367"/>
    <w:rsid w:val="0027564A"/>
    <w:rsid w:val="002756D3"/>
    <w:rsid w:val="00277E07"/>
    <w:rsid w:val="00280BA8"/>
    <w:rsid w:val="00281C93"/>
    <w:rsid w:val="00284010"/>
    <w:rsid w:val="00285310"/>
    <w:rsid w:val="00286B9B"/>
    <w:rsid w:val="00290111"/>
    <w:rsid w:val="002913D3"/>
    <w:rsid w:val="0029172F"/>
    <w:rsid w:val="00291E9D"/>
    <w:rsid w:val="00296893"/>
    <w:rsid w:val="00296E40"/>
    <w:rsid w:val="00296E94"/>
    <w:rsid w:val="0029757F"/>
    <w:rsid w:val="00297D3B"/>
    <w:rsid w:val="002A164F"/>
    <w:rsid w:val="002A1899"/>
    <w:rsid w:val="002A23D9"/>
    <w:rsid w:val="002A53C7"/>
    <w:rsid w:val="002A5F89"/>
    <w:rsid w:val="002B0421"/>
    <w:rsid w:val="002B1000"/>
    <w:rsid w:val="002B19B6"/>
    <w:rsid w:val="002B2FED"/>
    <w:rsid w:val="002B5377"/>
    <w:rsid w:val="002B7E14"/>
    <w:rsid w:val="002C0D1E"/>
    <w:rsid w:val="002C1650"/>
    <w:rsid w:val="002C375E"/>
    <w:rsid w:val="002C4710"/>
    <w:rsid w:val="002C4D24"/>
    <w:rsid w:val="002C73B8"/>
    <w:rsid w:val="002C74C3"/>
    <w:rsid w:val="002D4C2D"/>
    <w:rsid w:val="002D4EB7"/>
    <w:rsid w:val="002D7545"/>
    <w:rsid w:val="002E16F8"/>
    <w:rsid w:val="002E192E"/>
    <w:rsid w:val="002E4FDF"/>
    <w:rsid w:val="002E5D57"/>
    <w:rsid w:val="002E6B58"/>
    <w:rsid w:val="002F57F1"/>
    <w:rsid w:val="002F5ADF"/>
    <w:rsid w:val="002F602E"/>
    <w:rsid w:val="002F61B6"/>
    <w:rsid w:val="002F62A4"/>
    <w:rsid w:val="003028A4"/>
    <w:rsid w:val="00307197"/>
    <w:rsid w:val="00307B1D"/>
    <w:rsid w:val="00307D14"/>
    <w:rsid w:val="0031122C"/>
    <w:rsid w:val="0031217C"/>
    <w:rsid w:val="003135B4"/>
    <w:rsid w:val="00313B09"/>
    <w:rsid w:val="00315E52"/>
    <w:rsid w:val="00316701"/>
    <w:rsid w:val="00324208"/>
    <w:rsid w:val="0032512C"/>
    <w:rsid w:val="00330B98"/>
    <w:rsid w:val="0033459A"/>
    <w:rsid w:val="003357CD"/>
    <w:rsid w:val="00340074"/>
    <w:rsid w:val="00340D74"/>
    <w:rsid w:val="00341742"/>
    <w:rsid w:val="0034437C"/>
    <w:rsid w:val="003444C5"/>
    <w:rsid w:val="00344F74"/>
    <w:rsid w:val="00345C11"/>
    <w:rsid w:val="00346F83"/>
    <w:rsid w:val="00352A00"/>
    <w:rsid w:val="00352C41"/>
    <w:rsid w:val="00362863"/>
    <w:rsid w:val="00364683"/>
    <w:rsid w:val="00364C65"/>
    <w:rsid w:val="00365439"/>
    <w:rsid w:val="003674E3"/>
    <w:rsid w:val="00372C7C"/>
    <w:rsid w:val="0037527F"/>
    <w:rsid w:val="0037627A"/>
    <w:rsid w:val="0038159A"/>
    <w:rsid w:val="0038163B"/>
    <w:rsid w:val="00384E7E"/>
    <w:rsid w:val="003874D0"/>
    <w:rsid w:val="00391577"/>
    <w:rsid w:val="003927BC"/>
    <w:rsid w:val="003940CA"/>
    <w:rsid w:val="0039786B"/>
    <w:rsid w:val="00397B20"/>
    <w:rsid w:val="003A320B"/>
    <w:rsid w:val="003A4AE7"/>
    <w:rsid w:val="003B0DF1"/>
    <w:rsid w:val="003B0F9F"/>
    <w:rsid w:val="003B391A"/>
    <w:rsid w:val="003B7A38"/>
    <w:rsid w:val="003C0527"/>
    <w:rsid w:val="003C251D"/>
    <w:rsid w:val="003C2D01"/>
    <w:rsid w:val="003D0625"/>
    <w:rsid w:val="003D1782"/>
    <w:rsid w:val="003D2D10"/>
    <w:rsid w:val="003D2DBD"/>
    <w:rsid w:val="003D332D"/>
    <w:rsid w:val="003D4835"/>
    <w:rsid w:val="003D4EAF"/>
    <w:rsid w:val="003D6E20"/>
    <w:rsid w:val="003D7817"/>
    <w:rsid w:val="003D7D1F"/>
    <w:rsid w:val="003E0E07"/>
    <w:rsid w:val="003E0E57"/>
    <w:rsid w:val="003E40EE"/>
    <w:rsid w:val="003E5B0C"/>
    <w:rsid w:val="003E6EE3"/>
    <w:rsid w:val="003F0ECF"/>
    <w:rsid w:val="003F2E4A"/>
    <w:rsid w:val="003F3572"/>
    <w:rsid w:val="003F3DDE"/>
    <w:rsid w:val="003F60E9"/>
    <w:rsid w:val="00400457"/>
    <w:rsid w:val="004009ED"/>
    <w:rsid w:val="00402331"/>
    <w:rsid w:val="00405978"/>
    <w:rsid w:val="00407723"/>
    <w:rsid w:val="00410442"/>
    <w:rsid w:val="004109EC"/>
    <w:rsid w:val="00410D26"/>
    <w:rsid w:val="0041156D"/>
    <w:rsid w:val="00413591"/>
    <w:rsid w:val="004209F2"/>
    <w:rsid w:val="00420A3C"/>
    <w:rsid w:val="00424A74"/>
    <w:rsid w:val="00424ADE"/>
    <w:rsid w:val="00432C81"/>
    <w:rsid w:val="00434D08"/>
    <w:rsid w:val="00441B20"/>
    <w:rsid w:val="00443D4D"/>
    <w:rsid w:val="00444654"/>
    <w:rsid w:val="00447C5C"/>
    <w:rsid w:val="0045028D"/>
    <w:rsid w:val="00451CA0"/>
    <w:rsid w:val="0045368D"/>
    <w:rsid w:val="00454AC5"/>
    <w:rsid w:val="00454DEA"/>
    <w:rsid w:val="00455F9D"/>
    <w:rsid w:val="004567A6"/>
    <w:rsid w:val="00457EC7"/>
    <w:rsid w:val="00460C79"/>
    <w:rsid w:val="0046304C"/>
    <w:rsid w:val="0046450D"/>
    <w:rsid w:val="00466CDF"/>
    <w:rsid w:val="00470E75"/>
    <w:rsid w:val="00471E16"/>
    <w:rsid w:val="00477C00"/>
    <w:rsid w:val="00480DBA"/>
    <w:rsid w:val="00480F6F"/>
    <w:rsid w:val="0048357B"/>
    <w:rsid w:val="00483798"/>
    <w:rsid w:val="00484E0A"/>
    <w:rsid w:val="00484E7C"/>
    <w:rsid w:val="0048796E"/>
    <w:rsid w:val="0049030A"/>
    <w:rsid w:val="00491B7A"/>
    <w:rsid w:val="00494936"/>
    <w:rsid w:val="00495CE3"/>
    <w:rsid w:val="004A01CA"/>
    <w:rsid w:val="004A1930"/>
    <w:rsid w:val="004A3A9E"/>
    <w:rsid w:val="004A4838"/>
    <w:rsid w:val="004A7F51"/>
    <w:rsid w:val="004B58A6"/>
    <w:rsid w:val="004B63E3"/>
    <w:rsid w:val="004B7BD3"/>
    <w:rsid w:val="004C1619"/>
    <w:rsid w:val="004C4DA6"/>
    <w:rsid w:val="004C6018"/>
    <w:rsid w:val="004D0C26"/>
    <w:rsid w:val="004D11D0"/>
    <w:rsid w:val="004D1E37"/>
    <w:rsid w:val="004D59F4"/>
    <w:rsid w:val="004D790B"/>
    <w:rsid w:val="004D7DC1"/>
    <w:rsid w:val="004E2784"/>
    <w:rsid w:val="004E3413"/>
    <w:rsid w:val="004E7CD9"/>
    <w:rsid w:val="004F0F0D"/>
    <w:rsid w:val="004F16C2"/>
    <w:rsid w:val="004F17FE"/>
    <w:rsid w:val="004F18A4"/>
    <w:rsid w:val="004F38E1"/>
    <w:rsid w:val="004F3C12"/>
    <w:rsid w:val="004F54D5"/>
    <w:rsid w:val="004F54F5"/>
    <w:rsid w:val="00500772"/>
    <w:rsid w:val="005012B2"/>
    <w:rsid w:val="00502312"/>
    <w:rsid w:val="00506F29"/>
    <w:rsid w:val="005100F9"/>
    <w:rsid w:val="0051258D"/>
    <w:rsid w:val="005138B2"/>
    <w:rsid w:val="0051398F"/>
    <w:rsid w:val="005155D3"/>
    <w:rsid w:val="00524166"/>
    <w:rsid w:val="00527586"/>
    <w:rsid w:val="00535238"/>
    <w:rsid w:val="0053523F"/>
    <w:rsid w:val="005368BB"/>
    <w:rsid w:val="005442F0"/>
    <w:rsid w:val="0054499F"/>
    <w:rsid w:val="005546BB"/>
    <w:rsid w:val="005558FD"/>
    <w:rsid w:val="00556882"/>
    <w:rsid w:val="00562E49"/>
    <w:rsid w:val="0056365B"/>
    <w:rsid w:val="00563C32"/>
    <w:rsid w:val="005642AF"/>
    <w:rsid w:val="00564F5D"/>
    <w:rsid w:val="005653DE"/>
    <w:rsid w:val="00567756"/>
    <w:rsid w:val="00571D0C"/>
    <w:rsid w:val="0057671D"/>
    <w:rsid w:val="00577D34"/>
    <w:rsid w:val="00581689"/>
    <w:rsid w:val="005817CF"/>
    <w:rsid w:val="005910D4"/>
    <w:rsid w:val="005911A0"/>
    <w:rsid w:val="005913F1"/>
    <w:rsid w:val="00592E6A"/>
    <w:rsid w:val="00593E69"/>
    <w:rsid w:val="00596852"/>
    <w:rsid w:val="00597123"/>
    <w:rsid w:val="005A1CED"/>
    <w:rsid w:val="005A64BB"/>
    <w:rsid w:val="005B1F73"/>
    <w:rsid w:val="005B2657"/>
    <w:rsid w:val="005B2B0C"/>
    <w:rsid w:val="005B34A9"/>
    <w:rsid w:val="005B35DA"/>
    <w:rsid w:val="005B47D6"/>
    <w:rsid w:val="005B79E2"/>
    <w:rsid w:val="005B7CE7"/>
    <w:rsid w:val="005B7DCA"/>
    <w:rsid w:val="005C2B14"/>
    <w:rsid w:val="005C31F6"/>
    <w:rsid w:val="005C7501"/>
    <w:rsid w:val="005D3CF0"/>
    <w:rsid w:val="005D4254"/>
    <w:rsid w:val="005D49A7"/>
    <w:rsid w:val="005D4C5F"/>
    <w:rsid w:val="005E1486"/>
    <w:rsid w:val="005E15A3"/>
    <w:rsid w:val="005E2CBB"/>
    <w:rsid w:val="005E2E8E"/>
    <w:rsid w:val="005E44F8"/>
    <w:rsid w:val="005E4C50"/>
    <w:rsid w:val="005E6EE7"/>
    <w:rsid w:val="005F058F"/>
    <w:rsid w:val="005F1B75"/>
    <w:rsid w:val="005F25DA"/>
    <w:rsid w:val="005F6346"/>
    <w:rsid w:val="005F7325"/>
    <w:rsid w:val="005F76E8"/>
    <w:rsid w:val="005F7AC5"/>
    <w:rsid w:val="006012D3"/>
    <w:rsid w:val="006027A7"/>
    <w:rsid w:val="00602A3B"/>
    <w:rsid w:val="00603E53"/>
    <w:rsid w:val="006052C5"/>
    <w:rsid w:val="006053D1"/>
    <w:rsid w:val="00605678"/>
    <w:rsid w:val="00605800"/>
    <w:rsid w:val="006064BA"/>
    <w:rsid w:val="0060716C"/>
    <w:rsid w:val="00610981"/>
    <w:rsid w:val="00610CBB"/>
    <w:rsid w:val="0061515C"/>
    <w:rsid w:val="00615265"/>
    <w:rsid w:val="00617079"/>
    <w:rsid w:val="006227B9"/>
    <w:rsid w:val="00624766"/>
    <w:rsid w:val="00631F2B"/>
    <w:rsid w:val="006331BA"/>
    <w:rsid w:val="00633971"/>
    <w:rsid w:val="006419AD"/>
    <w:rsid w:val="0064304E"/>
    <w:rsid w:val="006437E3"/>
    <w:rsid w:val="00647FAA"/>
    <w:rsid w:val="00650151"/>
    <w:rsid w:val="0065130B"/>
    <w:rsid w:val="006515E5"/>
    <w:rsid w:val="00651EF8"/>
    <w:rsid w:val="006529EA"/>
    <w:rsid w:val="00652AFC"/>
    <w:rsid w:val="00654D7C"/>
    <w:rsid w:val="00657EE5"/>
    <w:rsid w:val="00662524"/>
    <w:rsid w:val="00663FB0"/>
    <w:rsid w:val="00665275"/>
    <w:rsid w:val="00667945"/>
    <w:rsid w:val="00672445"/>
    <w:rsid w:val="00673A18"/>
    <w:rsid w:val="00673EDC"/>
    <w:rsid w:val="00681C06"/>
    <w:rsid w:val="006820C8"/>
    <w:rsid w:val="00684F1A"/>
    <w:rsid w:val="00686469"/>
    <w:rsid w:val="00687498"/>
    <w:rsid w:val="00690769"/>
    <w:rsid w:val="006948FE"/>
    <w:rsid w:val="00695607"/>
    <w:rsid w:val="0069709D"/>
    <w:rsid w:val="006A04DA"/>
    <w:rsid w:val="006A0DA4"/>
    <w:rsid w:val="006A31AC"/>
    <w:rsid w:val="006A4F70"/>
    <w:rsid w:val="006B1B57"/>
    <w:rsid w:val="006B2025"/>
    <w:rsid w:val="006B3D0B"/>
    <w:rsid w:val="006B6172"/>
    <w:rsid w:val="006B6528"/>
    <w:rsid w:val="006C0FB9"/>
    <w:rsid w:val="006C1915"/>
    <w:rsid w:val="006C4BB4"/>
    <w:rsid w:val="006C50F6"/>
    <w:rsid w:val="006C5185"/>
    <w:rsid w:val="006C5FF7"/>
    <w:rsid w:val="006C6C04"/>
    <w:rsid w:val="006C72CA"/>
    <w:rsid w:val="006D0E18"/>
    <w:rsid w:val="006D0FC0"/>
    <w:rsid w:val="006D7913"/>
    <w:rsid w:val="006E0832"/>
    <w:rsid w:val="006E50AB"/>
    <w:rsid w:val="006F003F"/>
    <w:rsid w:val="006F1C81"/>
    <w:rsid w:val="006F27A2"/>
    <w:rsid w:val="006F2A91"/>
    <w:rsid w:val="006F5572"/>
    <w:rsid w:val="006F5F4C"/>
    <w:rsid w:val="006F680F"/>
    <w:rsid w:val="006F6CEB"/>
    <w:rsid w:val="007044AD"/>
    <w:rsid w:val="0070780F"/>
    <w:rsid w:val="00711708"/>
    <w:rsid w:val="00712267"/>
    <w:rsid w:val="007126F3"/>
    <w:rsid w:val="0071334A"/>
    <w:rsid w:val="007135FD"/>
    <w:rsid w:val="00713781"/>
    <w:rsid w:val="0071403F"/>
    <w:rsid w:val="0071420B"/>
    <w:rsid w:val="007159F5"/>
    <w:rsid w:val="00715CC8"/>
    <w:rsid w:val="00715CF0"/>
    <w:rsid w:val="00715E21"/>
    <w:rsid w:val="00716A30"/>
    <w:rsid w:val="00721032"/>
    <w:rsid w:val="0072423D"/>
    <w:rsid w:val="0072591E"/>
    <w:rsid w:val="00725A15"/>
    <w:rsid w:val="007274E0"/>
    <w:rsid w:val="007301ED"/>
    <w:rsid w:val="00730E77"/>
    <w:rsid w:val="00731390"/>
    <w:rsid w:val="007365F9"/>
    <w:rsid w:val="00740189"/>
    <w:rsid w:val="00740DF2"/>
    <w:rsid w:val="0074170A"/>
    <w:rsid w:val="00741CEF"/>
    <w:rsid w:val="00742706"/>
    <w:rsid w:val="00744993"/>
    <w:rsid w:val="00746D96"/>
    <w:rsid w:val="00750FF1"/>
    <w:rsid w:val="007513F6"/>
    <w:rsid w:val="00754A6E"/>
    <w:rsid w:val="00755B3C"/>
    <w:rsid w:val="00755FA0"/>
    <w:rsid w:val="00760B1B"/>
    <w:rsid w:val="00763B92"/>
    <w:rsid w:val="00763FF9"/>
    <w:rsid w:val="007674D6"/>
    <w:rsid w:val="00767850"/>
    <w:rsid w:val="00772A43"/>
    <w:rsid w:val="00773392"/>
    <w:rsid w:val="00773F27"/>
    <w:rsid w:val="00774667"/>
    <w:rsid w:val="007748C5"/>
    <w:rsid w:val="00774A34"/>
    <w:rsid w:val="00774FD6"/>
    <w:rsid w:val="0077653E"/>
    <w:rsid w:val="00780853"/>
    <w:rsid w:val="00781712"/>
    <w:rsid w:val="00790FFD"/>
    <w:rsid w:val="00791778"/>
    <w:rsid w:val="00792A0C"/>
    <w:rsid w:val="00792BE9"/>
    <w:rsid w:val="00793BBB"/>
    <w:rsid w:val="00794795"/>
    <w:rsid w:val="00794E5D"/>
    <w:rsid w:val="007960B6"/>
    <w:rsid w:val="007961B9"/>
    <w:rsid w:val="00796497"/>
    <w:rsid w:val="007A0435"/>
    <w:rsid w:val="007A0C50"/>
    <w:rsid w:val="007A1393"/>
    <w:rsid w:val="007A4525"/>
    <w:rsid w:val="007B1338"/>
    <w:rsid w:val="007B2B4D"/>
    <w:rsid w:val="007B3015"/>
    <w:rsid w:val="007B3533"/>
    <w:rsid w:val="007B5B20"/>
    <w:rsid w:val="007B65D5"/>
    <w:rsid w:val="007B7C05"/>
    <w:rsid w:val="007C013F"/>
    <w:rsid w:val="007C27BA"/>
    <w:rsid w:val="007C2889"/>
    <w:rsid w:val="007C4AD6"/>
    <w:rsid w:val="007C4DD0"/>
    <w:rsid w:val="007C58B1"/>
    <w:rsid w:val="007E38C6"/>
    <w:rsid w:val="007E6109"/>
    <w:rsid w:val="007E7EA7"/>
    <w:rsid w:val="007F41FD"/>
    <w:rsid w:val="00800470"/>
    <w:rsid w:val="0080290B"/>
    <w:rsid w:val="008029B3"/>
    <w:rsid w:val="008039DB"/>
    <w:rsid w:val="00803EDC"/>
    <w:rsid w:val="00804065"/>
    <w:rsid w:val="0080661E"/>
    <w:rsid w:val="0080708C"/>
    <w:rsid w:val="008108E0"/>
    <w:rsid w:val="0081090C"/>
    <w:rsid w:val="00810D19"/>
    <w:rsid w:val="00812813"/>
    <w:rsid w:val="008139CD"/>
    <w:rsid w:val="00815EEB"/>
    <w:rsid w:val="00816AA7"/>
    <w:rsid w:val="00821AE9"/>
    <w:rsid w:val="008322DD"/>
    <w:rsid w:val="00834AE3"/>
    <w:rsid w:val="008374DA"/>
    <w:rsid w:val="00840856"/>
    <w:rsid w:val="00842E88"/>
    <w:rsid w:val="00853BE9"/>
    <w:rsid w:val="008547F9"/>
    <w:rsid w:val="00855CAC"/>
    <w:rsid w:val="0086067D"/>
    <w:rsid w:val="008610B1"/>
    <w:rsid w:val="008610D8"/>
    <w:rsid w:val="008632B0"/>
    <w:rsid w:val="0086404A"/>
    <w:rsid w:val="00874BBB"/>
    <w:rsid w:val="00874E48"/>
    <w:rsid w:val="0087573E"/>
    <w:rsid w:val="00875D1F"/>
    <w:rsid w:val="00876DBF"/>
    <w:rsid w:val="00877E55"/>
    <w:rsid w:val="00882552"/>
    <w:rsid w:val="00884474"/>
    <w:rsid w:val="008851F7"/>
    <w:rsid w:val="00885AC7"/>
    <w:rsid w:val="00885E87"/>
    <w:rsid w:val="00887D69"/>
    <w:rsid w:val="00890FEA"/>
    <w:rsid w:val="00892713"/>
    <w:rsid w:val="008929BD"/>
    <w:rsid w:val="00894617"/>
    <w:rsid w:val="00895322"/>
    <w:rsid w:val="00895A99"/>
    <w:rsid w:val="00895BCF"/>
    <w:rsid w:val="00895FA8"/>
    <w:rsid w:val="00897C74"/>
    <w:rsid w:val="008A183A"/>
    <w:rsid w:val="008A4C8E"/>
    <w:rsid w:val="008A6701"/>
    <w:rsid w:val="008A7754"/>
    <w:rsid w:val="008A79F1"/>
    <w:rsid w:val="008B0453"/>
    <w:rsid w:val="008B27C2"/>
    <w:rsid w:val="008B2FCD"/>
    <w:rsid w:val="008B3810"/>
    <w:rsid w:val="008B3A1C"/>
    <w:rsid w:val="008B40A4"/>
    <w:rsid w:val="008B4127"/>
    <w:rsid w:val="008B65E8"/>
    <w:rsid w:val="008C4212"/>
    <w:rsid w:val="008C5362"/>
    <w:rsid w:val="008C7E2A"/>
    <w:rsid w:val="008D169D"/>
    <w:rsid w:val="008D22EA"/>
    <w:rsid w:val="008D7673"/>
    <w:rsid w:val="008D76AB"/>
    <w:rsid w:val="008D7771"/>
    <w:rsid w:val="008E29C7"/>
    <w:rsid w:val="008E2CFC"/>
    <w:rsid w:val="008E57DB"/>
    <w:rsid w:val="008F18F5"/>
    <w:rsid w:val="008F2521"/>
    <w:rsid w:val="008F3B2E"/>
    <w:rsid w:val="008F47AD"/>
    <w:rsid w:val="008F4920"/>
    <w:rsid w:val="008F587F"/>
    <w:rsid w:val="008F70AB"/>
    <w:rsid w:val="008F7702"/>
    <w:rsid w:val="00903B4A"/>
    <w:rsid w:val="00904D18"/>
    <w:rsid w:val="00904D90"/>
    <w:rsid w:val="00906E53"/>
    <w:rsid w:val="00911214"/>
    <w:rsid w:val="00914713"/>
    <w:rsid w:val="00916A55"/>
    <w:rsid w:val="00917023"/>
    <w:rsid w:val="00920300"/>
    <w:rsid w:val="0092084B"/>
    <w:rsid w:val="00923354"/>
    <w:rsid w:val="009243E9"/>
    <w:rsid w:val="009251B9"/>
    <w:rsid w:val="00926BDD"/>
    <w:rsid w:val="0093072A"/>
    <w:rsid w:val="009307D2"/>
    <w:rsid w:val="00930AED"/>
    <w:rsid w:val="00932226"/>
    <w:rsid w:val="00935A5A"/>
    <w:rsid w:val="00937146"/>
    <w:rsid w:val="00937467"/>
    <w:rsid w:val="00941F8A"/>
    <w:rsid w:val="0095042D"/>
    <w:rsid w:val="00950C79"/>
    <w:rsid w:val="00952E10"/>
    <w:rsid w:val="009543C0"/>
    <w:rsid w:val="00955410"/>
    <w:rsid w:val="009562F8"/>
    <w:rsid w:val="009570D2"/>
    <w:rsid w:val="009579E6"/>
    <w:rsid w:val="0096172A"/>
    <w:rsid w:val="00962114"/>
    <w:rsid w:val="00976608"/>
    <w:rsid w:val="00980C47"/>
    <w:rsid w:val="00981F50"/>
    <w:rsid w:val="00982B64"/>
    <w:rsid w:val="00982CA5"/>
    <w:rsid w:val="00984A8C"/>
    <w:rsid w:val="009903E3"/>
    <w:rsid w:val="0099284A"/>
    <w:rsid w:val="009958E0"/>
    <w:rsid w:val="00996E09"/>
    <w:rsid w:val="009A2C46"/>
    <w:rsid w:val="009A7D8A"/>
    <w:rsid w:val="009B251A"/>
    <w:rsid w:val="009B3C88"/>
    <w:rsid w:val="009B5F8C"/>
    <w:rsid w:val="009C1132"/>
    <w:rsid w:val="009C2CDE"/>
    <w:rsid w:val="009C34B7"/>
    <w:rsid w:val="009C47BE"/>
    <w:rsid w:val="009C47F9"/>
    <w:rsid w:val="009C79DF"/>
    <w:rsid w:val="009C7D73"/>
    <w:rsid w:val="009D290B"/>
    <w:rsid w:val="009D4E63"/>
    <w:rsid w:val="009D76BF"/>
    <w:rsid w:val="009D77E2"/>
    <w:rsid w:val="009E3689"/>
    <w:rsid w:val="009E7BB8"/>
    <w:rsid w:val="009F01FE"/>
    <w:rsid w:val="009F0BDC"/>
    <w:rsid w:val="009F2389"/>
    <w:rsid w:val="009F33FC"/>
    <w:rsid w:val="009F5467"/>
    <w:rsid w:val="009F6384"/>
    <w:rsid w:val="009F77AD"/>
    <w:rsid w:val="00A01E13"/>
    <w:rsid w:val="00A04166"/>
    <w:rsid w:val="00A0471E"/>
    <w:rsid w:val="00A047A1"/>
    <w:rsid w:val="00A0566D"/>
    <w:rsid w:val="00A0638E"/>
    <w:rsid w:val="00A100F9"/>
    <w:rsid w:val="00A1061A"/>
    <w:rsid w:val="00A11196"/>
    <w:rsid w:val="00A13177"/>
    <w:rsid w:val="00A13410"/>
    <w:rsid w:val="00A14DFD"/>
    <w:rsid w:val="00A17E26"/>
    <w:rsid w:val="00A24B37"/>
    <w:rsid w:val="00A25E15"/>
    <w:rsid w:val="00A26226"/>
    <w:rsid w:val="00A27467"/>
    <w:rsid w:val="00A30885"/>
    <w:rsid w:val="00A30A73"/>
    <w:rsid w:val="00A3472F"/>
    <w:rsid w:val="00A3527C"/>
    <w:rsid w:val="00A35BEA"/>
    <w:rsid w:val="00A362B5"/>
    <w:rsid w:val="00A434EE"/>
    <w:rsid w:val="00A45CD2"/>
    <w:rsid w:val="00A463B4"/>
    <w:rsid w:val="00A46485"/>
    <w:rsid w:val="00A47A07"/>
    <w:rsid w:val="00A50549"/>
    <w:rsid w:val="00A50777"/>
    <w:rsid w:val="00A51F3E"/>
    <w:rsid w:val="00A53193"/>
    <w:rsid w:val="00A5326C"/>
    <w:rsid w:val="00A54AB5"/>
    <w:rsid w:val="00A554C7"/>
    <w:rsid w:val="00A558BC"/>
    <w:rsid w:val="00A55B5E"/>
    <w:rsid w:val="00A5655C"/>
    <w:rsid w:val="00A631A3"/>
    <w:rsid w:val="00A63D8B"/>
    <w:rsid w:val="00A64E67"/>
    <w:rsid w:val="00A64EC6"/>
    <w:rsid w:val="00A654E6"/>
    <w:rsid w:val="00A65C3E"/>
    <w:rsid w:val="00A720A0"/>
    <w:rsid w:val="00A74394"/>
    <w:rsid w:val="00A75997"/>
    <w:rsid w:val="00A7630D"/>
    <w:rsid w:val="00A8148B"/>
    <w:rsid w:val="00A82834"/>
    <w:rsid w:val="00A836D0"/>
    <w:rsid w:val="00A84E26"/>
    <w:rsid w:val="00A84F89"/>
    <w:rsid w:val="00A85F39"/>
    <w:rsid w:val="00A87003"/>
    <w:rsid w:val="00A94E67"/>
    <w:rsid w:val="00A95133"/>
    <w:rsid w:val="00AA1B57"/>
    <w:rsid w:val="00AA2524"/>
    <w:rsid w:val="00AA36A9"/>
    <w:rsid w:val="00AA6CA9"/>
    <w:rsid w:val="00AB1DC3"/>
    <w:rsid w:val="00AB5023"/>
    <w:rsid w:val="00AB6280"/>
    <w:rsid w:val="00AC0822"/>
    <w:rsid w:val="00AC1329"/>
    <w:rsid w:val="00AC1C3B"/>
    <w:rsid w:val="00AC1D0E"/>
    <w:rsid w:val="00AC2E76"/>
    <w:rsid w:val="00AC5F49"/>
    <w:rsid w:val="00AC699A"/>
    <w:rsid w:val="00AD3623"/>
    <w:rsid w:val="00AD466E"/>
    <w:rsid w:val="00AD4E28"/>
    <w:rsid w:val="00AD5A60"/>
    <w:rsid w:val="00AD6E30"/>
    <w:rsid w:val="00AD7558"/>
    <w:rsid w:val="00AE0207"/>
    <w:rsid w:val="00AE1584"/>
    <w:rsid w:val="00AE569E"/>
    <w:rsid w:val="00AE645E"/>
    <w:rsid w:val="00AF2DEA"/>
    <w:rsid w:val="00AF5009"/>
    <w:rsid w:val="00AF5C0E"/>
    <w:rsid w:val="00B04B58"/>
    <w:rsid w:val="00B119D0"/>
    <w:rsid w:val="00B11D42"/>
    <w:rsid w:val="00B12653"/>
    <w:rsid w:val="00B14159"/>
    <w:rsid w:val="00B1584A"/>
    <w:rsid w:val="00B16231"/>
    <w:rsid w:val="00B20E86"/>
    <w:rsid w:val="00B230E8"/>
    <w:rsid w:val="00B23FF5"/>
    <w:rsid w:val="00B250AA"/>
    <w:rsid w:val="00B25D14"/>
    <w:rsid w:val="00B25F33"/>
    <w:rsid w:val="00B27A38"/>
    <w:rsid w:val="00B30B4D"/>
    <w:rsid w:val="00B37ABA"/>
    <w:rsid w:val="00B37E5B"/>
    <w:rsid w:val="00B405FE"/>
    <w:rsid w:val="00B418F8"/>
    <w:rsid w:val="00B42184"/>
    <w:rsid w:val="00B43973"/>
    <w:rsid w:val="00B44DBA"/>
    <w:rsid w:val="00B4671D"/>
    <w:rsid w:val="00B54FFA"/>
    <w:rsid w:val="00B567A2"/>
    <w:rsid w:val="00B606DC"/>
    <w:rsid w:val="00B64D73"/>
    <w:rsid w:val="00B676DD"/>
    <w:rsid w:val="00B67B2D"/>
    <w:rsid w:val="00B704A9"/>
    <w:rsid w:val="00B70755"/>
    <w:rsid w:val="00B72910"/>
    <w:rsid w:val="00B74579"/>
    <w:rsid w:val="00B74FF5"/>
    <w:rsid w:val="00B75B70"/>
    <w:rsid w:val="00B8162A"/>
    <w:rsid w:val="00B81CC4"/>
    <w:rsid w:val="00B82B0E"/>
    <w:rsid w:val="00B82C7B"/>
    <w:rsid w:val="00B83028"/>
    <w:rsid w:val="00B8355E"/>
    <w:rsid w:val="00B8588E"/>
    <w:rsid w:val="00B85E66"/>
    <w:rsid w:val="00B8713A"/>
    <w:rsid w:val="00B949F1"/>
    <w:rsid w:val="00B95B0F"/>
    <w:rsid w:val="00B96C75"/>
    <w:rsid w:val="00BA14F8"/>
    <w:rsid w:val="00BA47CE"/>
    <w:rsid w:val="00BA679E"/>
    <w:rsid w:val="00BA7A46"/>
    <w:rsid w:val="00BB0F44"/>
    <w:rsid w:val="00BB1C97"/>
    <w:rsid w:val="00BB33A2"/>
    <w:rsid w:val="00BB3489"/>
    <w:rsid w:val="00BB5327"/>
    <w:rsid w:val="00BB5692"/>
    <w:rsid w:val="00BB69E7"/>
    <w:rsid w:val="00BB7DDA"/>
    <w:rsid w:val="00BC4B38"/>
    <w:rsid w:val="00BC5C04"/>
    <w:rsid w:val="00BD063D"/>
    <w:rsid w:val="00BD084C"/>
    <w:rsid w:val="00BD1363"/>
    <w:rsid w:val="00BD715D"/>
    <w:rsid w:val="00BE29CA"/>
    <w:rsid w:val="00BE2F77"/>
    <w:rsid w:val="00BE39E4"/>
    <w:rsid w:val="00BE39FC"/>
    <w:rsid w:val="00BE6CF4"/>
    <w:rsid w:val="00BE7B87"/>
    <w:rsid w:val="00BF1519"/>
    <w:rsid w:val="00BF4171"/>
    <w:rsid w:val="00BF4818"/>
    <w:rsid w:val="00BF56D6"/>
    <w:rsid w:val="00BF70AD"/>
    <w:rsid w:val="00BF71AC"/>
    <w:rsid w:val="00BF724A"/>
    <w:rsid w:val="00C001CD"/>
    <w:rsid w:val="00C0337F"/>
    <w:rsid w:val="00C037EA"/>
    <w:rsid w:val="00C043FD"/>
    <w:rsid w:val="00C06281"/>
    <w:rsid w:val="00C0671F"/>
    <w:rsid w:val="00C072AB"/>
    <w:rsid w:val="00C13524"/>
    <w:rsid w:val="00C13AD5"/>
    <w:rsid w:val="00C15775"/>
    <w:rsid w:val="00C17DE4"/>
    <w:rsid w:val="00C21099"/>
    <w:rsid w:val="00C22D4D"/>
    <w:rsid w:val="00C2349A"/>
    <w:rsid w:val="00C27F38"/>
    <w:rsid w:val="00C31CDE"/>
    <w:rsid w:val="00C350A6"/>
    <w:rsid w:val="00C4162C"/>
    <w:rsid w:val="00C423B0"/>
    <w:rsid w:val="00C42B40"/>
    <w:rsid w:val="00C4604A"/>
    <w:rsid w:val="00C46118"/>
    <w:rsid w:val="00C461E1"/>
    <w:rsid w:val="00C467A3"/>
    <w:rsid w:val="00C4737A"/>
    <w:rsid w:val="00C5083F"/>
    <w:rsid w:val="00C51347"/>
    <w:rsid w:val="00C52893"/>
    <w:rsid w:val="00C5338A"/>
    <w:rsid w:val="00C53467"/>
    <w:rsid w:val="00C541D9"/>
    <w:rsid w:val="00C570BB"/>
    <w:rsid w:val="00C60E32"/>
    <w:rsid w:val="00C62360"/>
    <w:rsid w:val="00C65F4B"/>
    <w:rsid w:val="00C663D6"/>
    <w:rsid w:val="00C66F86"/>
    <w:rsid w:val="00C677A2"/>
    <w:rsid w:val="00C70D40"/>
    <w:rsid w:val="00C7147A"/>
    <w:rsid w:val="00C73F2A"/>
    <w:rsid w:val="00C746EA"/>
    <w:rsid w:val="00C74711"/>
    <w:rsid w:val="00C76390"/>
    <w:rsid w:val="00C763C7"/>
    <w:rsid w:val="00C82C2D"/>
    <w:rsid w:val="00C830C8"/>
    <w:rsid w:val="00C83844"/>
    <w:rsid w:val="00C84820"/>
    <w:rsid w:val="00C85FF2"/>
    <w:rsid w:val="00C86AFE"/>
    <w:rsid w:val="00C86DAA"/>
    <w:rsid w:val="00C87AF8"/>
    <w:rsid w:val="00C972B0"/>
    <w:rsid w:val="00CA230A"/>
    <w:rsid w:val="00CA2A69"/>
    <w:rsid w:val="00CA30EB"/>
    <w:rsid w:val="00CA49D1"/>
    <w:rsid w:val="00CA6DA4"/>
    <w:rsid w:val="00CB0A10"/>
    <w:rsid w:val="00CB2DF5"/>
    <w:rsid w:val="00CB4B29"/>
    <w:rsid w:val="00CB6905"/>
    <w:rsid w:val="00CB7F15"/>
    <w:rsid w:val="00CC03F3"/>
    <w:rsid w:val="00CC04E9"/>
    <w:rsid w:val="00CC35A8"/>
    <w:rsid w:val="00CC6C40"/>
    <w:rsid w:val="00CC75F8"/>
    <w:rsid w:val="00CD3A22"/>
    <w:rsid w:val="00CD652F"/>
    <w:rsid w:val="00CE4247"/>
    <w:rsid w:val="00CE5273"/>
    <w:rsid w:val="00CE6518"/>
    <w:rsid w:val="00CE758C"/>
    <w:rsid w:val="00CF55CC"/>
    <w:rsid w:val="00D01F9D"/>
    <w:rsid w:val="00D03543"/>
    <w:rsid w:val="00D03D1B"/>
    <w:rsid w:val="00D04B77"/>
    <w:rsid w:val="00D04BAE"/>
    <w:rsid w:val="00D052B8"/>
    <w:rsid w:val="00D07793"/>
    <w:rsid w:val="00D07E21"/>
    <w:rsid w:val="00D204A8"/>
    <w:rsid w:val="00D21843"/>
    <w:rsid w:val="00D22B35"/>
    <w:rsid w:val="00D2459A"/>
    <w:rsid w:val="00D24FD3"/>
    <w:rsid w:val="00D25C78"/>
    <w:rsid w:val="00D30026"/>
    <w:rsid w:val="00D32E35"/>
    <w:rsid w:val="00D3455B"/>
    <w:rsid w:val="00D34D64"/>
    <w:rsid w:val="00D37BB0"/>
    <w:rsid w:val="00D37CC1"/>
    <w:rsid w:val="00D41D05"/>
    <w:rsid w:val="00D42293"/>
    <w:rsid w:val="00D4553E"/>
    <w:rsid w:val="00D512DC"/>
    <w:rsid w:val="00D55F5D"/>
    <w:rsid w:val="00D60E96"/>
    <w:rsid w:val="00D631FD"/>
    <w:rsid w:val="00D63A61"/>
    <w:rsid w:val="00D64A0A"/>
    <w:rsid w:val="00D76474"/>
    <w:rsid w:val="00D77BB4"/>
    <w:rsid w:val="00D82E7E"/>
    <w:rsid w:val="00D83B11"/>
    <w:rsid w:val="00D84CD3"/>
    <w:rsid w:val="00D872A3"/>
    <w:rsid w:val="00D90365"/>
    <w:rsid w:val="00D90E4D"/>
    <w:rsid w:val="00D951C6"/>
    <w:rsid w:val="00D95ABC"/>
    <w:rsid w:val="00DA079C"/>
    <w:rsid w:val="00DA1CB8"/>
    <w:rsid w:val="00DB1C52"/>
    <w:rsid w:val="00DB20EA"/>
    <w:rsid w:val="00DB329F"/>
    <w:rsid w:val="00DB3A50"/>
    <w:rsid w:val="00DC050D"/>
    <w:rsid w:val="00DC285C"/>
    <w:rsid w:val="00DC4540"/>
    <w:rsid w:val="00DC61CA"/>
    <w:rsid w:val="00DD13D3"/>
    <w:rsid w:val="00DD359A"/>
    <w:rsid w:val="00DD3CBA"/>
    <w:rsid w:val="00DD474A"/>
    <w:rsid w:val="00DD5404"/>
    <w:rsid w:val="00DE2D8B"/>
    <w:rsid w:val="00DE41B7"/>
    <w:rsid w:val="00DE4246"/>
    <w:rsid w:val="00DE4638"/>
    <w:rsid w:val="00DE4CB2"/>
    <w:rsid w:val="00DE5B5F"/>
    <w:rsid w:val="00DE61F5"/>
    <w:rsid w:val="00DE625E"/>
    <w:rsid w:val="00DF4423"/>
    <w:rsid w:val="00E00B40"/>
    <w:rsid w:val="00E01F6B"/>
    <w:rsid w:val="00E02D86"/>
    <w:rsid w:val="00E03F36"/>
    <w:rsid w:val="00E0769A"/>
    <w:rsid w:val="00E10926"/>
    <w:rsid w:val="00E116CA"/>
    <w:rsid w:val="00E119C0"/>
    <w:rsid w:val="00E14422"/>
    <w:rsid w:val="00E15D0A"/>
    <w:rsid w:val="00E173B6"/>
    <w:rsid w:val="00E209E6"/>
    <w:rsid w:val="00E22F75"/>
    <w:rsid w:val="00E23EF9"/>
    <w:rsid w:val="00E2521E"/>
    <w:rsid w:val="00E312CA"/>
    <w:rsid w:val="00E34D0F"/>
    <w:rsid w:val="00E40630"/>
    <w:rsid w:val="00E410A2"/>
    <w:rsid w:val="00E44527"/>
    <w:rsid w:val="00E45075"/>
    <w:rsid w:val="00E45D97"/>
    <w:rsid w:val="00E45E08"/>
    <w:rsid w:val="00E5440E"/>
    <w:rsid w:val="00E55130"/>
    <w:rsid w:val="00E55178"/>
    <w:rsid w:val="00E56C81"/>
    <w:rsid w:val="00E73B9D"/>
    <w:rsid w:val="00E7546C"/>
    <w:rsid w:val="00E76FD5"/>
    <w:rsid w:val="00E77ABA"/>
    <w:rsid w:val="00E8032B"/>
    <w:rsid w:val="00E838E2"/>
    <w:rsid w:val="00E90E72"/>
    <w:rsid w:val="00E911DA"/>
    <w:rsid w:val="00E91A9E"/>
    <w:rsid w:val="00E92320"/>
    <w:rsid w:val="00E92A62"/>
    <w:rsid w:val="00E93118"/>
    <w:rsid w:val="00E95F73"/>
    <w:rsid w:val="00E97DB7"/>
    <w:rsid w:val="00EA3D90"/>
    <w:rsid w:val="00EA460F"/>
    <w:rsid w:val="00EA5C00"/>
    <w:rsid w:val="00EA7D16"/>
    <w:rsid w:val="00EB16F3"/>
    <w:rsid w:val="00EB2612"/>
    <w:rsid w:val="00EB3BB4"/>
    <w:rsid w:val="00EB5EC2"/>
    <w:rsid w:val="00EC5400"/>
    <w:rsid w:val="00EC734C"/>
    <w:rsid w:val="00ED15CE"/>
    <w:rsid w:val="00ED3392"/>
    <w:rsid w:val="00ED3DFA"/>
    <w:rsid w:val="00ED661C"/>
    <w:rsid w:val="00ED66E2"/>
    <w:rsid w:val="00ED7439"/>
    <w:rsid w:val="00EE1768"/>
    <w:rsid w:val="00EE1960"/>
    <w:rsid w:val="00EE2543"/>
    <w:rsid w:val="00EE635E"/>
    <w:rsid w:val="00EE6A4B"/>
    <w:rsid w:val="00EF7F8E"/>
    <w:rsid w:val="00F02FAD"/>
    <w:rsid w:val="00F0423B"/>
    <w:rsid w:val="00F05AC9"/>
    <w:rsid w:val="00F0660E"/>
    <w:rsid w:val="00F100C3"/>
    <w:rsid w:val="00F11E05"/>
    <w:rsid w:val="00F11F62"/>
    <w:rsid w:val="00F163F0"/>
    <w:rsid w:val="00F17C68"/>
    <w:rsid w:val="00F22EFA"/>
    <w:rsid w:val="00F2540C"/>
    <w:rsid w:val="00F270EC"/>
    <w:rsid w:val="00F318DC"/>
    <w:rsid w:val="00F3229D"/>
    <w:rsid w:val="00F32E62"/>
    <w:rsid w:val="00F345D8"/>
    <w:rsid w:val="00F36906"/>
    <w:rsid w:val="00F378FB"/>
    <w:rsid w:val="00F429AC"/>
    <w:rsid w:val="00F4601C"/>
    <w:rsid w:val="00F47F3F"/>
    <w:rsid w:val="00F51267"/>
    <w:rsid w:val="00F54A71"/>
    <w:rsid w:val="00F633D7"/>
    <w:rsid w:val="00F65CEF"/>
    <w:rsid w:val="00F7491C"/>
    <w:rsid w:val="00F75037"/>
    <w:rsid w:val="00F776C5"/>
    <w:rsid w:val="00F77792"/>
    <w:rsid w:val="00F77F58"/>
    <w:rsid w:val="00F80A20"/>
    <w:rsid w:val="00F81784"/>
    <w:rsid w:val="00F820FD"/>
    <w:rsid w:val="00F87FD2"/>
    <w:rsid w:val="00F91779"/>
    <w:rsid w:val="00F955BE"/>
    <w:rsid w:val="00F973DF"/>
    <w:rsid w:val="00F9775B"/>
    <w:rsid w:val="00FA108D"/>
    <w:rsid w:val="00FA2714"/>
    <w:rsid w:val="00FA3187"/>
    <w:rsid w:val="00FA53B0"/>
    <w:rsid w:val="00FA561B"/>
    <w:rsid w:val="00FA69A8"/>
    <w:rsid w:val="00FB0C5B"/>
    <w:rsid w:val="00FB21B7"/>
    <w:rsid w:val="00FB3CE4"/>
    <w:rsid w:val="00FB6BDC"/>
    <w:rsid w:val="00FB7D19"/>
    <w:rsid w:val="00FC01B4"/>
    <w:rsid w:val="00FC318F"/>
    <w:rsid w:val="00FC351F"/>
    <w:rsid w:val="00FC3A65"/>
    <w:rsid w:val="00FC3DFB"/>
    <w:rsid w:val="00FC42F5"/>
    <w:rsid w:val="00FC4C0F"/>
    <w:rsid w:val="00FC7807"/>
    <w:rsid w:val="00FD1EAD"/>
    <w:rsid w:val="00FD2103"/>
    <w:rsid w:val="00FD2F4D"/>
    <w:rsid w:val="00FE01B9"/>
    <w:rsid w:val="00FE162C"/>
    <w:rsid w:val="00FE2E8C"/>
    <w:rsid w:val="00FE4078"/>
    <w:rsid w:val="00FE5D31"/>
    <w:rsid w:val="00FF2160"/>
    <w:rsid w:val="00FF4F68"/>
    <w:rsid w:val="00FF4FB1"/>
    <w:rsid w:val="00FF5437"/>
    <w:rsid w:val="00FF563B"/>
    <w:rsid w:val="00FF5E7E"/>
    <w:rsid w:val="00FF68BD"/>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17DFD"/>
  <w15:docId w15:val="{A9EDA4D1-CD42-4597-9F9F-0B5A39F7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rPr>
  </w:style>
  <w:style w:type="paragraph" w:styleId="Heading3">
    <w:name w:val="heading 3"/>
    <w:basedOn w:val="Normal"/>
    <w:next w:val="Normal"/>
    <w:qFormat/>
    <w:rsid w:val="0080290B"/>
    <w:pPr>
      <w:keepNext/>
      <w:spacing w:line="360" w:lineRule="auto"/>
      <w:jc w:val="center"/>
      <w:outlineLvl w:val="2"/>
    </w:pPr>
    <w:rPr>
      <w:rFonts w:eastAsia="Arial Unicode MS"/>
      <w:sz w:val="28"/>
      <w:szCs w:val="28"/>
      <w:lang w:eastAsia="ro-RO"/>
    </w:rPr>
  </w:style>
  <w:style w:type="paragraph" w:styleId="Heading4">
    <w:name w:val="heading 4"/>
    <w:basedOn w:val="Normal"/>
    <w:next w:val="Normal"/>
    <w:qFormat/>
    <w:rsid w:val="0080290B"/>
    <w:pPr>
      <w:keepNext/>
      <w:jc w:val="center"/>
      <w:outlineLvl w:val="3"/>
    </w:pPr>
    <w:rPr>
      <w:rFonts w:eastAsia="Arial Unicode MS"/>
      <w:b/>
      <w:sz w:val="28"/>
      <w:lang w:eastAsia="ro-RO"/>
    </w:rPr>
  </w:style>
  <w:style w:type="paragraph" w:styleId="Heading5">
    <w:name w:val="heading 5"/>
    <w:basedOn w:val="Normal"/>
    <w:next w:val="Normal"/>
    <w:qFormat/>
    <w:rsid w:val="0080290B"/>
    <w:pPr>
      <w:keepNext/>
      <w:tabs>
        <w:tab w:val="left" w:pos="0"/>
      </w:tabs>
      <w:jc w:val="center"/>
      <w:outlineLvl w:val="4"/>
    </w:pPr>
    <w:rPr>
      <w:rFonts w:eastAsia="Arial Unicode MS"/>
      <w:b/>
      <w:color w:val="000000"/>
      <w:lang w:eastAsia="ro-RO"/>
    </w:rPr>
  </w:style>
  <w:style w:type="paragraph" w:styleId="Heading8">
    <w:name w:val="heading 8"/>
    <w:basedOn w:val="Normal"/>
    <w:next w:val="Normal"/>
    <w:qFormat/>
    <w:rsid w:val="0080290B"/>
    <w:pPr>
      <w:keepNext/>
      <w:jc w:val="center"/>
      <w:outlineLvl w:val="7"/>
    </w:pPr>
    <w:rPr>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ambul1">
    <w:name w:val="preambul1"/>
    <w:rsid w:val="008A6701"/>
    <w:rPr>
      <w:i/>
      <w:iCs/>
      <w:color w:val="000000"/>
    </w:rPr>
  </w:style>
  <w:style w:type="character" w:styleId="Hyperlink">
    <w:name w:val="Hyperlink"/>
    <w:uiPriority w:val="99"/>
    <w:rsid w:val="008A6701"/>
    <w:rPr>
      <w:color w:val="0000FF"/>
      <w:u w:val="single"/>
    </w:rPr>
  </w:style>
  <w:style w:type="character" w:customStyle="1" w:styleId="articol1">
    <w:name w:val="articol1"/>
    <w:rsid w:val="008A6701"/>
    <w:rPr>
      <w:b/>
      <w:bCs/>
      <w:color w:val="009500"/>
    </w:rPr>
  </w:style>
  <w:style w:type="character" w:customStyle="1" w:styleId="searchidx01">
    <w:name w:val="search_idx_01"/>
    <w:rsid w:val="008A6701"/>
    <w:rPr>
      <w:color w:val="000000"/>
      <w:shd w:val="clear" w:color="auto" w:fill="FFD700"/>
    </w:rPr>
  </w:style>
  <w:style w:type="table" w:styleId="TableGrid">
    <w:name w:val="Table Grid"/>
    <w:basedOn w:val="TableNormal"/>
    <w:rsid w:val="003D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E2CFC"/>
    <w:pPr>
      <w:ind w:firstLine="708"/>
      <w:jc w:val="both"/>
    </w:pPr>
    <w:rPr>
      <w:lang w:val="en-GB" w:eastAsia="ro-RO"/>
    </w:rPr>
  </w:style>
  <w:style w:type="paragraph" w:styleId="BodyText2">
    <w:name w:val="Body Text 2"/>
    <w:basedOn w:val="Normal"/>
    <w:rsid w:val="008E2CFC"/>
    <w:pPr>
      <w:spacing w:after="120" w:line="480" w:lineRule="auto"/>
    </w:pPr>
    <w:rPr>
      <w:lang w:eastAsia="ro-RO"/>
    </w:rPr>
  </w:style>
  <w:style w:type="character" w:styleId="Strong">
    <w:name w:val="Strong"/>
    <w:qFormat/>
    <w:rsid w:val="003F2E4A"/>
    <w:rPr>
      <w:b/>
      <w:bCs/>
    </w:rPr>
  </w:style>
  <w:style w:type="paragraph" w:styleId="BodyText">
    <w:name w:val="Body Text"/>
    <w:basedOn w:val="Normal"/>
    <w:rsid w:val="0080290B"/>
    <w:pPr>
      <w:spacing w:after="120"/>
    </w:pPr>
  </w:style>
  <w:style w:type="paragraph" w:styleId="Title">
    <w:name w:val="Title"/>
    <w:basedOn w:val="Normal"/>
    <w:qFormat/>
    <w:rsid w:val="0080290B"/>
    <w:pPr>
      <w:jc w:val="center"/>
    </w:pPr>
    <w:rPr>
      <w:b/>
      <w:sz w:val="28"/>
      <w:szCs w:val="20"/>
      <w:lang w:eastAsia="ro-RO"/>
    </w:rPr>
  </w:style>
  <w:style w:type="paragraph" w:styleId="Subtitle">
    <w:name w:val="Subtitle"/>
    <w:basedOn w:val="Normal"/>
    <w:qFormat/>
    <w:rsid w:val="0080290B"/>
    <w:pPr>
      <w:ind w:left="360"/>
      <w:jc w:val="center"/>
    </w:pPr>
    <w:rPr>
      <w:b/>
      <w:sz w:val="28"/>
      <w:lang w:eastAsia="ro-RO"/>
    </w:rPr>
  </w:style>
  <w:style w:type="paragraph" w:styleId="Caption">
    <w:name w:val="caption"/>
    <w:basedOn w:val="Normal"/>
    <w:next w:val="Normal"/>
    <w:qFormat/>
    <w:rsid w:val="0080290B"/>
    <w:pPr>
      <w:jc w:val="center"/>
    </w:pPr>
    <w:rPr>
      <w:b/>
      <w:sz w:val="28"/>
      <w:lang w:eastAsia="ro-RO"/>
    </w:rPr>
  </w:style>
  <w:style w:type="character" w:customStyle="1" w:styleId="punct1">
    <w:name w:val="punct1"/>
    <w:rsid w:val="0080290B"/>
    <w:rPr>
      <w:b/>
      <w:bCs/>
      <w:color w:val="000000"/>
    </w:rPr>
  </w:style>
  <w:style w:type="paragraph" w:styleId="BalloonText">
    <w:name w:val="Balloon Text"/>
    <w:basedOn w:val="Normal"/>
    <w:semiHidden/>
    <w:rsid w:val="00A17E26"/>
    <w:rPr>
      <w:rFonts w:ascii="Tahoma" w:hAnsi="Tahoma" w:cs="Tahoma"/>
      <w:sz w:val="16"/>
      <w:szCs w:val="16"/>
    </w:rPr>
  </w:style>
  <w:style w:type="paragraph" w:styleId="Footer">
    <w:name w:val="footer"/>
    <w:basedOn w:val="Normal"/>
    <w:rsid w:val="00193D35"/>
    <w:pPr>
      <w:tabs>
        <w:tab w:val="center" w:pos="4320"/>
        <w:tab w:val="right" w:pos="8640"/>
      </w:tabs>
    </w:pPr>
  </w:style>
  <w:style w:type="character" w:styleId="PageNumber">
    <w:name w:val="page number"/>
    <w:basedOn w:val="DefaultParagraphFont"/>
    <w:rsid w:val="00193D35"/>
  </w:style>
  <w:style w:type="character" w:customStyle="1" w:styleId="l5tlu1">
    <w:name w:val="l5tlu1"/>
    <w:rsid w:val="00874BBB"/>
    <w:rPr>
      <w:b/>
      <w:bCs/>
      <w:color w:val="000000"/>
      <w:sz w:val="32"/>
      <w:szCs w:val="32"/>
    </w:rPr>
  </w:style>
  <w:style w:type="character" w:customStyle="1" w:styleId="l5def1">
    <w:name w:val="l5def1"/>
    <w:rsid w:val="006419AD"/>
    <w:rPr>
      <w:rFonts w:ascii="Arial" w:hAnsi="Arial" w:cs="Arial" w:hint="default"/>
      <w:color w:val="000000"/>
      <w:sz w:val="26"/>
      <w:szCs w:val="26"/>
    </w:rPr>
  </w:style>
  <w:style w:type="character" w:customStyle="1" w:styleId="l5def2">
    <w:name w:val="l5def2"/>
    <w:rsid w:val="001A0837"/>
    <w:rPr>
      <w:rFonts w:ascii="Arial" w:hAnsi="Arial" w:cs="Arial" w:hint="default"/>
      <w:color w:val="000000"/>
      <w:sz w:val="26"/>
      <w:szCs w:val="26"/>
    </w:rPr>
  </w:style>
  <w:style w:type="paragraph" w:styleId="NormalWeb">
    <w:name w:val="Normal (Web)"/>
    <w:basedOn w:val="Normal"/>
    <w:uiPriority w:val="99"/>
    <w:semiHidden/>
    <w:unhideWhenUsed/>
    <w:rsid w:val="00800470"/>
    <w:pPr>
      <w:spacing w:before="100" w:beforeAutospacing="1" w:after="100" w:afterAutospacing="1"/>
    </w:pPr>
    <w:rPr>
      <w:lang w:val="en-US"/>
    </w:rPr>
  </w:style>
  <w:style w:type="paragraph" w:styleId="NoSpacing">
    <w:name w:val="No Spacing"/>
    <w:qFormat/>
    <w:rsid w:val="007B1338"/>
    <w:pPr>
      <w:suppressAutoHyphens/>
    </w:pPr>
    <w:rPr>
      <w:rFonts w:ascii="Calibri" w:eastAsia="Calibri" w:hAnsi="Calibri" w:cs="Calibri"/>
      <w:sz w:val="22"/>
      <w:szCs w:val="22"/>
      <w:lang w:eastAsia="zh-CN"/>
    </w:rPr>
  </w:style>
  <w:style w:type="paragraph" w:styleId="ListParagraph">
    <w:name w:val="List Paragraph"/>
    <w:basedOn w:val="Normal"/>
    <w:uiPriority w:val="34"/>
    <w:qFormat/>
    <w:rsid w:val="000F3F7E"/>
    <w:pPr>
      <w:ind w:left="720"/>
      <w:contextualSpacing/>
    </w:pPr>
    <w:rPr>
      <w:rFonts w:eastAsia="Calibri"/>
      <w:lang w:eastAsia="ro-RO"/>
    </w:rPr>
  </w:style>
  <w:style w:type="paragraph" w:styleId="Header">
    <w:name w:val="header"/>
    <w:basedOn w:val="Normal"/>
    <w:link w:val="HeaderChar"/>
    <w:uiPriority w:val="99"/>
    <w:unhideWhenUsed/>
    <w:rsid w:val="00884474"/>
    <w:pPr>
      <w:tabs>
        <w:tab w:val="center" w:pos="4680"/>
        <w:tab w:val="right" w:pos="9360"/>
      </w:tabs>
    </w:pPr>
    <w:rPr>
      <w:lang w:eastAsia="x-none"/>
    </w:rPr>
  </w:style>
  <w:style w:type="character" w:customStyle="1" w:styleId="HeaderChar">
    <w:name w:val="Header Char"/>
    <w:link w:val="Header"/>
    <w:uiPriority w:val="99"/>
    <w:rsid w:val="00884474"/>
    <w:rPr>
      <w:sz w:val="24"/>
      <w:szCs w:val="24"/>
      <w:lang w:val="ro-RO"/>
    </w:rPr>
  </w:style>
  <w:style w:type="character" w:customStyle="1" w:styleId="spar">
    <w:name w:val="s_par"/>
    <w:rsid w:val="009A2C46"/>
  </w:style>
  <w:style w:type="paragraph" w:styleId="Revision">
    <w:name w:val="Revision"/>
    <w:hidden/>
    <w:uiPriority w:val="99"/>
    <w:semiHidden/>
    <w:rsid w:val="00160B49"/>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9868">
      <w:bodyDiv w:val="1"/>
      <w:marLeft w:val="0"/>
      <w:marRight w:val="0"/>
      <w:marTop w:val="0"/>
      <w:marBottom w:val="0"/>
      <w:divBdr>
        <w:top w:val="none" w:sz="0" w:space="0" w:color="auto"/>
        <w:left w:val="none" w:sz="0" w:space="0" w:color="auto"/>
        <w:bottom w:val="none" w:sz="0" w:space="0" w:color="auto"/>
        <w:right w:val="none" w:sz="0" w:space="0" w:color="auto"/>
      </w:divBdr>
    </w:div>
    <w:div w:id="214585316">
      <w:bodyDiv w:val="1"/>
      <w:marLeft w:val="0"/>
      <w:marRight w:val="0"/>
      <w:marTop w:val="0"/>
      <w:marBottom w:val="0"/>
      <w:divBdr>
        <w:top w:val="none" w:sz="0" w:space="0" w:color="auto"/>
        <w:left w:val="none" w:sz="0" w:space="0" w:color="auto"/>
        <w:bottom w:val="none" w:sz="0" w:space="0" w:color="auto"/>
        <w:right w:val="none" w:sz="0" w:space="0" w:color="auto"/>
      </w:divBdr>
    </w:div>
    <w:div w:id="233786758">
      <w:bodyDiv w:val="1"/>
      <w:marLeft w:val="0"/>
      <w:marRight w:val="0"/>
      <w:marTop w:val="0"/>
      <w:marBottom w:val="0"/>
      <w:divBdr>
        <w:top w:val="none" w:sz="0" w:space="0" w:color="auto"/>
        <w:left w:val="none" w:sz="0" w:space="0" w:color="auto"/>
        <w:bottom w:val="none" w:sz="0" w:space="0" w:color="auto"/>
        <w:right w:val="none" w:sz="0" w:space="0" w:color="auto"/>
      </w:divBdr>
    </w:div>
    <w:div w:id="280307431">
      <w:bodyDiv w:val="1"/>
      <w:marLeft w:val="0"/>
      <w:marRight w:val="0"/>
      <w:marTop w:val="0"/>
      <w:marBottom w:val="0"/>
      <w:divBdr>
        <w:top w:val="none" w:sz="0" w:space="0" w:color="auto"/>
        <w:left w:val="none" w:sz="0" w:space="0" w:color="auto"/>
        <w:bottom w:val="none" w:sz="0" w:space="0" w:color="auto"/>
        <w:right w:val="none" w:sz="0" w:space="0" w:color="auto"/>
      </w:divBdr>
      <w:divsChild>
        <w:div w:id="788083881">
          <w:marLeft w:val="0"/>
          <w:marRight w:val="0"/>
          <w:marTop w:val="0"/>
          <w:marBottom w:val="0"/>
          <w:divBdr>
            <w:top w:val="none" w:sz="0" w:space="0" w:color="auto"/>
            <w:left w:val="none" w:sz="0" w:space="0" w:color="auto"/>
            <w:bottom w:val="none" w:sz="0" w:space="0" w:color="auto"/>
            <w:right w:val="none" w:sz="0" w:space="0" w:color="auto"/>
          </w:divBdr>
        </w:div>
        <w:div w:id="1081374318">
          <w:marLeft w:val="0"/>
          <w:marRight w:val="0"/>
          <w:marTop w:val="0"/>
          <w:marBottom w:val="0"/>
          <w:divBdr>
            <w:top w:val="none" w:sz="0" w:space="0" w:color="auto"/>
            <w:left w:val="none" w:sz="0" w:space="0" w:color="auto"/>
            <w:bottom w:val="none" w:sz="0" w:space="0" w:color="auto"/>
            <w:right w:val="none" w:sz="0" w:space="0" w:color="auto"/>
          </w:divBdr>
        </w:div>
        <w:div w:id="1948736179">
          <w:marLeft w:val="0"/>
          <w:marRight w:val="0"/>
          <w:marTop w:val="0"/>
          <w:marBottom w:val="0"/>
          <w:divBdr>
            <w:top w:val="none" w:sz="0" w:space="0" w:color="auto"/>
            <w:left w:val="none" w:sz="0" w:space="0" w:color="auto"/>
            <w:bottom w:val="none" w:sz="0" w:space="0" w:color="auto"/>
            <w:right w:val="none" w:sz="0" w:space="0" w:color="auto"/>
          </w:divBdr>
        </w:div>
      </w:divsChild>
    </w:div>
    <w:div w:id="327826766">
      <w:bodyDiv w:val="1"/>
      <w:marLeft w:val="0"/>
      <w:marRight w:val="0"/>
      <w:marTop w:val="0"/>
      <w:marBottom w:val="0"/>
      <w:divBdr>
        <w:top w:val="none" w:sz="0" w:space="0" w:color="auto"/>
        <w:left w:val="none" w:sz="0" w:space="0" w:color="auto"/>
        <w:bottom w:val="none" w:sz="0" w:space="0" w:color="auto"/>
        <w:right w:val="none" w:sz="0" w:space="0" w:color="auto"/>
      </w:divBdr>
    </w:div>
    <w:div w:id="346099233">
      <w:bodyDiv w:val="1"/>
      <w:marLeft w:val="0"/>
      <w:marRight w:val="0"/>
      <w:marTop w:val="0"/>
      <w:marBottom w:val="0"/>
      <w:divBdr>
        <w:top w:val="none" w:sz="0" w:space="0" w:color="auto"/>
        <w:left w:val="none" w:sz="0" w:space="0" w:color="auto"/>
        <w:bottom w:val="none" w:sz="0" w:space="0" w:color="auto"/>
        <w:right w:val="none" w:sz="0" w:space="0" w:color="auto"/>
      </w:divBdr>
      <w:divsChild>
        <w:div w:id="740366473">
          <w:marLeft w:val="0"/>
          <w:marRight w:val="0"/>
          <w:marTop w:val="0"/>
          <w:marBottom w:val="0"/>
          <w:divBdr>
            <w:top w:val="none" w:sz="0" w:space="0" w:color="auto"/>
            <w:left w:val="none" w:sz="0" w:space="0" w:color="auto"/>
            <w:bottom w:val="none" w:sz="0" w:space="0" w:color="auto"/>
            <w:right w:val="none" w:sz="0" w:space="0" w:color="auto"/>
          </w:divBdr>
        </w:div>
      </w:divsChild>
    </w:div>
    <w:div w:id="728114297">
      <w:bodyDiv w:val="1"/>
      <w:marLeft w:val="0"/>
      <w:marRight w:val="0"/>
      <w:marTop w:val="0"/>
      <w:marBottom w:val="0"/>
      <w:divBdr>
        <w:top w:val="none" w:sz="0" w:space="0" w:color="auto"/>
        <w:left w:val="none" w:sz="0" w:space="0" w:color="auto"/>
        <w:bottom w:val="none" w:sz="0" w:space="0" w:color="auto"/>
        <w:right w:val="none" w:sz="0" w:space="0" w:color="auto"/>
      </w:divBdr>
    </w:div>
    <w:div w:id="873888362">
      <w:bodyDiv w:val="1"/>
      <w:marLeft w:val="0"/>
      <w:marRight w:val="0"/>
      <w:marTop w:val="0"/>
      <w:marBottom w:val="0"/>
      <w:divBdr>
        <w:top w:val="none" w:sz="0" w:space="0" w:color="auto"/>
        <w:left w:val="none" w:sz="0" w:space="0" w:color="auto"/>
        <w:bottom w:val="none" w:sz="0" w:space="0" w:color="auto"/>
        <w:right w:val="none" w:sz="0" w:space="0" w:color="auto"/>
      </w:divBdr>
    </w:div>
    <w:div w:id="960381281">
      <w:bodyDiv w:val="1"/>
      <w:marLeft w:val="0"/>
      <w:marRight w:val="0"/>
      <w:marTop w:val="0"/>
      <w:marBottom w:val="0"/>
      <w:divBdr>
        <w:top w:val="none" w:sz="0" w:space="0" w:color="auto"/>
        <w:left w:val="none" w:sz="0" w:space="0" w:color="auto"/>
        <w:bottom w:val="none" w:sz="0" w:space="0" w:color="auto"/>
        <w:right w:val="none" w:sz="0" w:space="0" w:color="auto"/>
      </w:divBdr>
    </w:div>
    <w:div w:id="970750834">
      <w:bodyDiv w:val="1"/>
      <w:marLeft w:val="0"/>
      <w:marRight w:val="0"/>
      <w:marTop w:val="0"/>
      <w:marBottom w:val="0"/>
      <w:divBdr>
        <w:top w:val="none" w:sz="0" w:space="0" w:color="auto"/>
        <w:left w:val="none" w:sz="0" w:space="0" w:color="auto"/>
        <w:bottom w:val="none" w:sz="0" w:space="0" w:color="auto"/>
        <w:right w:val="none" w:sz="0" w:space="0" w:color="auto"/>
      </w:divBdr>
    </w:div>
    <w:div w:id="993409227">
      <w:bodyDiv w:val="1"/>
      <w:marLeft w:val="0"/>
      <w:marRight w:val="0"/>
      <w:marTop w:val="0"/>
      <w:marBottom w:val="0"/>
      <w:divBdr>
        <w:top w:val="none" w:sz="0" w:space="0" w:color="auto"/>
        <w:left w:val="none" w:sz="0" w:space="0" w:color="auto"/>
        <w:bottom w:val="none" w:sz="0" w:space="0" w:color="auto"/>
        <w:right w:val="none" w:sz="0" w:space="0" w:color="auto"/>
      </w:divBdr>
    </w:div>
    <w:div w:id="1033724858">
      <w:bodyDiv w:val="1"/>
      <w:marLeft w:val="0"/>
      <w:marRight w:val="0"/>
      <w:marTop w:val="0"/>
      <w:marBottom w:val="0"/>
      <w:divBdr>
        <w:top w:val="none" w:sz="0" w:space="0" w:color="auto"/>
        <w:left w:val="none" w:sz="0" w:space="0" w:color="auto"/>
        <w:bottom w:val="none" w:sz="0" w:space="0" w:color="auto"/>
        <w:right w:val="none" w:sz="0" w:space="0" w:color="auto"/>
      </w:divBdr>
      <w:divsChild>
        <w:div w:id="2133015777">
          <w:marLeft w:val="0"/>
          <w:marRight w:val="0"/>
          <w:marTop w:val="0"/>
          <w:marBottom w:val="0"/>
          <w:divBdr>
            <w:top w:val="none" w:sz="0" w:space="0" w:color="auto"/>
            <w:left w:val="none" w:sz="0" w:space="0" w:color="auto"/>
            <w:bottom w:val="none" w:sz="0" w:space="0" w:color="auto"/>
            <w:right w:val="none" w:sz="0" w:space="0" w:color="auto"/>
          </w:divBdr>
        </w:div>
      </w:divsChild>
    </w:div>
    <w:div w:id="1107847333">
      <w:bodyDiv w:val="1"/>
      <w:marLeft w:val="0"/>
      <w:marRight w:val="0"/>
      <w:marTop w:val="0"/>
      <w:marBottom w:val="0"/>
      <w:divBdr>
        <w:top w:val="none" w:sz="0" w:space="0" w:color="auto"/>
        <w:left w:val="none" w:sz="0" w:space="0" w:color="auto"/>
        <w:bottom w:val="none" w:sz="0" w:space="0" w:color="auto"/>
        <w:right w:val="none" w:sz="0" w:space="0" w:color="auto"/>
      </w:divBdr>
    </w:div>
    <w:div w:id="1157959961">
      <w:bodyDiv w:val="1"/>
      <w:marLeft w:val="0"/>
      <w:marRight w:val="0"/>
      <w:marTop w:val="0"/>
      <w:marBottom w:val="0"/>
      <w:divBdr>
        <w:top w:val="none" w:sz="0" w:space="0" w:color="auto"/>
        <w:left w:val="none" w:sz="0" w:space="0" w:color="auto"/>
        <w:bottom w:val="none" w:sz="0" w:space="0" w:color="auto"/>
        <w:right w:val="none" w:sz="0" w:space="0" w:color="auto"/>
      </w:divBdr>
    </w:div>
    <w:div w:id="1169058647">
      <w:bodyDiv w:val="1"/>
      <w:marLeft w:val="0"/>
      <w:marRight w:val="0"/>
      <w:marTop w:val="0"/>
      <w:marBottom w:val="0"/>
      <w:divBdr>
        <w:top w:val="none" w:sz="0" w:space="0" w:color="auto"/>
        <w:left w:val="none" w:sz="0" w:space="0" w:color="auto"/>
        <w:bottom w:val="none" w:sz="0" w:space="0" w:color="auto"/>
        <w:right w:val="none" w:sz="0" w:space="0" w:color="auto"/>
      </w:divBdr>
    </w:div>
    <w:div w:id="1267269757">
      <w:bodyDiv w:val="1"/>
      <w:marLeft w:val="0"/>
      <w:marRight w:val="0"/>
      <w:marTop w:val="0"/>
      <w:marBottom w:val="0"/>
      <w:divBdr>
        <w:top w:val="none" w:sz="0" w:space="0" w:color="auto"/>
        <w:left w:val="none" w:sz="0" w:space="0" w:color="auto"/>
        <w:bottom w:val="none" w:sz="0" w:space="0" w:color="auto"/>
        <w:right w:val="none" w:sz="0" w:space="0" w:color="auto"/>
      </w:divBdr>
    </w:div>
    <w:div w:id="1284193800">
      <w:bodyDiv w:val="1"/>
      <w:marLeft w:val="0"/>
      <w:marRight w:val="0"/>
      <w:marTop w:val="0"/>
      <w:marBottom w:val="0"/>
      <w:divBdr>
        <w:top w:val="none" w:sz="0" w:space="0" w:color="auto"/>
        <w:left w:val="none" w:sz="0" w:space="0" w:color="auto"/>
        <w:bottom w:val="none" w:sz="0" w:space="0" w:color="auto"/>
        <w:right w:val="none" w:sz="0" w:space="0" w:color="auto"/>
      </w:divBdr>
    </w:div>
    <w:div w:id="1804536005">
      <w:bodyDiv w:val="1"/>
      <w:marLeft w:val="0"/>
      <w:marRight w:val="0"/>
      <w:marTop w:val="0"/>
      <w:marBottom w:val="0"/>
      <w:divBdr>
        <w:top w:val="none" w:sz="0" w:space="0" w:color="auto"/>
        <w:left w:val="none" w:sz="0" w:space="0" w:color="auto"/>
        <w:bottom w:val="none" w:sz="0" w:space="0" w:color="auto"/>
        <w:right w:val="none" w:sz="0" w:space="0" w:color="auto"/>
      </w:divBdr>
    </w:div>
    <w:div w:id="18595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589CE-4DB2-40D3-B0F7-44C9A697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9939</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Hotărâre nr</vt:lpstr>
      <vt:lpstr>Hotărâre nr</vt:lpstr>
    </vt:vector>
  </TitlesOfParts>
  <Company>MT</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 nr</dc:title>
  <dc:creator>d05s05</dc:creator>
  <cp:lastModifiedBy>Ana-Maria Dascălu</cp:lastModifiedBy>
  <cp:revision>2</cp:revision>
  <cp:lastPrinted>2022-02-21T11:31:00Z</cp:lastPrinted>
  <dcterms:created xsi:type="dcterms:W3CDTF">2022-02-22T12:04:00Z</dcterms:created>
  <dcterms:modified xsi:type="dcterms:W3CDTF">2022-02-22T12:04:00Z</dcterms:modified>
</cp:coreProperties>
</file>