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3C" w:rsidRPr="009B18D9" w:rsidRDefault="00AC263C">
      <w:pPr>
        <w:tabs>
          <w:tab w:val="left" w:pos="12960"/>
        </w:tabs>
        <w:spacing w:after="0" w:line="240" w:lineRule="auto"/>
        <w:jc w:val="center"/>
        <w:rPr>
          <w:rFonts w:ascii="Times New Roman" w:eastAsia="Times New Roman" w:hAnsi="Times New Roman" w:cs="Times New Roman"/>
          <w:b/>
          <w:sz w:val="20"/>
          <w:szCs w:val="20"/>
        </w:rPr>
      </w:pPr>
    </w:p>
    <w:p w:rsidR="00AC263C" w:rsidRPr="009B18D9" w:rsidRDefault="00651678">
      <w:pPr>
        <w:spacing w:after="0" w:line="240" w:lineRule="auto"/>
        <w:jc w:val="center"/>
        <w:rPr>
          <w:rFonts w:ascii="Times New Roman" w:eastAsia="Times New Roman" w:hAnsi="Times New Roman" w:cs="Times New Roman"/>
          <w:b/>
          <w:sz w:val="20"/>
          <w:szCs w:val="20"/>
        </w:rPr>
      </w:pPr>
      <w:r w:rsidRPr="009B18D9">
        <w:rPr>
          <w:rFonts w:ascii="Times New Roman" w:eastAsia="Times New Roman" w:hAnsi="Times New Roman" w:cs="Times New Roman"/>
          <w:b/>
          <w:sz w:val="20"/>
          <w:szCs w:val="20"/>
        </w:rPr>
        <w:t>TABEL DE CONCORDANTA</w:t>
      </w:r>
    </w:p>
    <w:p w:rsidR="00AC263C" w:rsidRPr="009B18D9" w:rsidRDefault="00AC263C">
      <w:pPr>
        <w:spacing w:after="0" w:line="240" w:lineRule="auto"/>
        <w:jc w:val="center"/>
        <w:rPr>
          <w:rFonts w:ascii="Times New Roman" w:eastAsia="Times New Roman" w:hAnsi="Times New Roman" w:cs="Times New Roman"/>
          <w:b/>
          <w:sz w:val="20"/>
          <w:szCs w:val="20"/>
        </w:rPr>
      </w:pPr>
    </w:p>
    <w:p w:rsidR="00AC263C" w:rsidRPr="009B18D9" w:rsidRDefault="00AC263C" w:rsidP="004C2176">
      <w:pPr>
        <w:spacing w:after="0" w:line="240" w:lineRule="auto"/>
        <w:jc w:val="center"/>
        <w:rPr>
          <w:rFonts w:ascii="Times New Roman" w:eastAsia="Times New Roman" w:hAnsi="Times New Roman" w:cs="Times New Roman"/>
          <w:sz w:val="20"/>
          <w:szCs w:val="20"/>
          <w:shd w:val="clear" w:color="auto" w:fill="FFFFFF"/>
        </w:rPr>
      </w:pPr>
    </w:p>
    <w:tbl>
      <w:tblPr>
        <w:tblW w:w="15189" w:type="dxa"/>
        <w:tblInd w:w="196" w:type="dxa"/>
        <w:tblLayout w:type="fixed"/>
        <w:tblLook w:val="0000" w:firstRow="0" w:lastRow="0" w:firstColumn="0" w:lastColumn="0" w:noHBand="0" w:noVBand="0"/>
      </w:tblPr>
      <w:tblGrid>
        <w:gridCol w:w="1075"/>
        <w:gridCol w:w="5245"/>
        <w:gridCol w:w="1134"/>
        <w:gridCol w:w="4819"/>
        <w:gridCol w:w="2909"/>
        <w:gridCol w:w="7"/>
      </w:tblGrid>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DIRECTIVA (UE) 2019/520 A PARLAMENTULUI EUROPEAN ȘI A CONSILIULUI din 19 martie 2019 privind interoperabilitatea sistemelor de taxare rutieră electronică și facilitarea schimbului transfrontalier de informații cu privire la neplata taxelor rutiere în cadrul Uniunii (reformare)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 xml:space="preserve">Ordonanta </w:t>
            </w:r>
            <w:bookmarkStart w:id="0" w:name="_Hlk67576663"/>
            <w:r w:rsidRPr="009B18D9">
              <w:rPr>
                <w:rFonts w:ascii="Times New Roman" w:hAnsi="Times New Roman" w:cs="Times New Roman"/>
                <w:sz w:val="20"/>
                <w:szCs w:val="20"/>
              </w:rPr>
              <w:t>privind interoperabilitatea sistemelor de tarifare rutiera electronica și facilitarea schimbului transfrontalier de informații cu privire la neplata tarifelor rutiere</w:t>
            </w:r>
            <w:bookmarkEnd w:id="0"/>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b/>
                <w:sz w:val="20"/>
                <w:szCs w:val="20"/>
              </w:rPr>
            </w:pPr>
            <w:r w:rsidRPr="009B18D9">
              <w:rPr>
                <w:rFonts w:ascii="Times New Roman" w:eastAsia="Calibri" w:hAnsi="Times New Roman" w:cs="Times New Roman"/>
                <w:b/>
                <w:sz w:val="20"/>
                <w:szCs w:val="20"/>
              </w:rPr>
              <w:t>Observatii</w:t>
            </w:r>
          </w:p>
        </w:tc>
      </w:tr>
      <w:tr w:rsidR="009B18D9" w:rsidRPr="009B18D9" w:rsidTr="008E68B2">
        <w:trPr>
          <w:gridAfter w:val="1"/>
          <w:wAfter w:w="7" w:type="dxa"/>
          <w:trHeight w:val="1"/>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I: DISPOZIŢII GENERALE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Obiectul şi domeniul de aplicare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w:t>
            </w:r>
            <w:r w:rsidR="00D87DEC">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1</w:t>
            </w:r>
            <w:r w:rsidR="00D87DEC">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Prezenta directivă stabileşte condiţiile necesare în vederea: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1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Prezenta ordonanţă stabileşte cadrul general și condițiile care trebuie îndeplinite în vederea asigurării:</w:t>
            </w:r>
          </w:p>
        </w:tc>
        <w:tc>
          <w:tcPr>
            <w:tcW w:w="2909" w:type="dxa"/>
            <w:vMerge w:val="restart"/>
            <w:tcBorders>
              <w:top w:val="single" w:sz="4" w:space="0" w:color="000000"/>
              <w:left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892"/>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asigurării interoperabilităţii sistemelor de taxare rutieră electronică pe întreaga reţea rutieră a Uniunii, autostrăzile urbane şi interurbane, rutele majore şi minore şi diversele structuri, cum ar fi tuneluri sau poduri, şi feriboturi;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interoperabilității sistemelelor de tarifare rutieră electronică pentru utilizarea infrastructurii rutiere de pe teritoriul României cu sistemele de tarifare rutieră electronică similare din Uniunea Europeană;</w:t>
            </w:r>
          </w:p>
        </w:tc>
        <w:tc>
          <w:tcPr>
            <w:tcW w:w="2909" w:type="dxa"/>
            <w:vMerge/>
            <w:tcBorders>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62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facilitării schimbului transfrontalier de date privind înmatricularea vehiculelor referitoare la vehiculele şi proprietarii sau deţinătorii vehiculelor pentru care a survenit o neplată a taxelor rutiere de orice fel în Uniune.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schimbului transfrontalier de informații privind vehiculele înmatriculate și deținătorii acestora, în cazul în care a fost constatată o neplată a tarifelor rutiere, de orice fel, în statele membre ale Uniunii Europene.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227"/>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Pentru a respecta principiul subsidiarităţii, prezenta directivă se aplică fără a aduce atingere deciziilor luate de statele membre de a percepe taxe rutiere pentru anumite tipuri de vehicule şi de a stabili nivelul respectivelor taxe şi scopul pentru care sunt percepute astfel de taxe.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242"/>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Articolele 3 - 22 nu se aplică: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1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Prevederile prezentei ordonanţe nu se aplică: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sistemelor de taxare rutieră care nu sunt electronice în înţelesul articolului 2 punctul 10;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sistemelor de tarifare rutieră care nu sunt electronice, în conformitate cu prevederile art. 2 lit. j);</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trike/>
                <w:sz w:val="20"/>
                <w:szCs w:val="20"/>
              </w:rPr>
            </w:pPr>
          </w:p>
        </w:tc>
      </w:tr>
      <w:tr w:rsidR="009B18D9" w:rsidRPr="009B18D9" w:rsidTr="008E68B2">
        <w:trPr>
          <w:gridAfter w:val="1"/>
          <w:wAfter w:w="7" w:type="dxa"/>
          <w:trHeight w:val="937"/>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sistemelor de taxare rutieră de mică anvergură, la nivel strict local, în cazul cărora costurile conformităţii cu cerinţele articolelor 3-22 ar fi disproporţionate în raport cu beneficiile.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sistemelor de tarifare rutieră electronică de mică anvergură, strict locale, pentru care costurile de conformare cu cerinţele prezentei ordonanţe sunt disproporţionate în raport cu avantajele;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p>
        </w:tc>
      </w:tr>
      <w:tr w:rsidR="009B18D9" w:rsidRPr="009B18D9" w:rsidTr="008E68B2">
        <w:trPr>
          <w:gridAfter w:val="1"/>
          <w:wAfter w:w="7" w:type="dxa"/>
          <w:trHeight w:val="343"/>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 cazul tarifelor de utilizare a elementelor infrastructurii rutiere stabilite în funcție de perioada de utilizare a acesteia și de caracteristicile vehiculului, cu excepția schimbului transfrontalier de informații în cazul în care a fost constatată o neplată a acestor tarife</w:t>
            </w:r>
            <w:r w:rsidR="00D87DEC">
              <w:rPr>
                <w:rFonts w:ascii="Times New Roman" w:eastAsia="Calibri"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hAnsi="Times New Roman" w:cs="Times New Roman"/>
                <w:i/>
                <w:sz w:val="20"/>
                <w:szCs w:val="20"/>
              </w:rPr>
            </w:pPr>
          </w:p>
        </w:tc>
      </w:tr>
      <w:tr w:rsidR="009B18D9" w:rsidRPr="009B18D9" w:rsidTr="008E68B2">
        <w:trPr>
          <w:gridAfter w:val="1"/>
          <w:wAfter w:w="7" w:type="dxa"/>
          <w:trHeight w:val="37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Prezenta directivă nu se aplică taxelor de parcare.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 cazul tarifelor pentru utilizarea spațiilor de parcare.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Obiectivul interoperabilităţii sistemelor de taxare rutieră electronică din Uniune este îndeplinit prin intermediul serviciului european de taxare rutieră electronică (SETRE), care este complementar serviciilor naţionale de taxare rutieră </w:t>
            </w:r>
            <w:r w:rsidRPr="009B18D9">
              <w:rPr>
                <w:rFonts w:ascii="Times New Roman" w:eastAsia="Calibri" w:hAnsi="Times New Roman" w:cs="Times New Roman"/>
                <w:sz w:val="20"/>
                <w:szCs w:val="20"/>
              </w:rPr>
              <w:lastRenderedPageBreak/>
              <w:t>electronică ale statelor membre.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Art. 1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Interoperabilitatea sistemelor de tarifare rutieră electronică din România, la nivel national, precum și cu cele din celelalte state membre ale Uniunii Europene se realizează prin intermediul Serviciului European de </w:t>
            </w:r>
            <w:r w:rsidRPr="009B18D9">
              <w:rPr>
                <w:rFonts w:ascii="Times New Roman" w:eastAsia="Calibri" w:hAnsi="Times New Roman" w:cs="Times New Roman"/>
                <w:sz w:val="20"/>
                <w:szCs w:val="20"/>
              </w:rPr>
              <w:lastRenderedPageBreak/>
              <w:t>Taxare Rutiera Electronică (SETRE), serviciu complementar serviciilor de tarifare rutieră electronică din acestea.</w:t>
            </w: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C0CEE" w:rsidRPr="009B18D9" w:rsidRDefault="007C0CEE" w:rsidP="00D87DEC">
            <w:pPr>
              <w:widowControl w:val="0"/>
              <w:spacing w:after="0" w:line="240" w:lineRule="auto"/>
              <w:ind w:right="80"/>
              <w:jc w:val="both"/>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dreptul intern impune o notificare adresată utilizatorului privind obligaţia de a plăti înainte de a putea fi stabilită o neplată a unei taxe rutiere, statele membre pot, de asemenea, să aplice prezenta directivă pentru a identifica proprietarul sau deţinătorul vehiculului şi vehiculul în sine în scopul notificării, numai dacă sunt îndeplinite toate condiţiile următoare: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C0CEE" w:rsidRPr="009B18D9" w:rsidRDefault="00A63BFB" w:rsidP="00D87DEC">
            <w:pPr>
              <w:widowControl w:val="0"/>
              <w:spacing w:after="0" w:line="240" w:lineRule="auto"/>
              <w:jc w:val="center"/>
              <w:rPr>
                <w:rFonts w:ascii="Times New Roman" w:hAnsi="Times New Roman" w:cs="Times New Roman"/>
                <w:sz w:val="20"/>
                <w:szCs w:val="20"/>
                <w:highlight w:val="cyan"/>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nu există alte mijloace de identificare a proprietarului sau a deţinătorului vehiculului;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C0CEE" w:rsidRPr="009B18D9" w:rsidRDefault="00A63BFB" w:rsidP="00D87DEC">
            <w:pPr>
              <w:widowControl w:val="0"/>
              <w:tabs>
                <w:tab w:val="left" w:pos="12960"/>
              </w:tabs>
              <w:spacing w:after="0" w:line="240" w:lineRule="auto"/>
              <w:jc w:val="center"/>
              <w:rPr>
                <w:rFonts w:ascii="Times New Roman" w:eastAsia="Calibri" w:hAnsi="Times New Roman" w:cs="Times New Roman"/>
                <w:sz w:val="20"/>
                <w:szCs w:val="20"/>
                <w:highlight w:val="cyan"/>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notificarea adresată proprietarului sau deţinătorului vehiculului privind obligaţia de a plăti este o etapă obligatorie a procedurii de plată a taxei rutiere în temeiul dreptului intern.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C0CEE" w:rsidRPr="009B18D9" w:rsidRDefault="00A63BFB" w:rsidP="00D87DEC">
            <w:pPr>
              <w:widowControl w:val="0"/>
              <w:tabs>
                <w:tab w:val="left" w:pos="12960"/>
              </w:tabs>
              <w:spacing w:after="0" w:line="240" w:lineRule="auto"/>
              <w:jc w:val="center"/>
              <w:rPr>
                <w:rFonts w:ascii="Times New Roman" w:eastAsia="Calibri" w:hAnsi="Times New Roman" w:cs="Times New Roman"/>
                <w:sz w:val="20"/>
                <w:szCs w:val="20"/>
                <w:highlight w:val="cyan"/>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În cazul în care un stat membru aplică alineatul (5), acesta ia măsurile necesare pentru a se asigura că orice procedură ulterioară în legătură cu obligaţia de a plăti taxa rutieră este îndeplinită de autorităţile publice.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C0CEE" w:rsidRPr="009B18D9" w:rsidRDefault="00A63BFB" w:rsidP="00D87DEC">
            <w:pPr>
              <w:widowControl w:val="0"/>
              <w:tabs>
                <w:tab w:val="left" w:pos="12960"/>
              </w:tabs>
              <w:spacing w:after="0" w:line="240" w:lineRule="auto"/>
              <w:jc w:val="center"/>
              <w:rPr>
                <w:rFonts w:ascii="Times New Roman" w:eastAsia="Calibri" w:hAnsi="Times New Roman" w:cs="Times New Roman"/>
                <w:sz w:val="20"/>
                <w:szCs w:val="20"/>
                <w:highlight w:val="cyan"/>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Menţiunile referitoare la neplata unei taxe rutiere în prezenta directivă includ cazurile menţionate la alineatul (5) atunci când statul membru pe teritoriul căruia are loc neplata aplică alineatul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C0CEE" w:rsidRPr="009B18D9" w:rsidRDefault="00A63BFB" w:rsidP="00D87DEC">
            <w:pPr>
              <w:widowControl w:val="0"/>
              <w:tabs>
                <w:tab w:val="left" w:pos="12960"/>
              </w:tabs>
              <w:spacing w:after="0" w:line="240" w:lineRule="auto"/>
              <w:jc w:val="center"/>
              <w:rPr>
                <w:rFonts w:ascii="Times New Roman" w:eastAsia="Calibri" w:hAnsi="Times New Roman" w:cs="Times New Roman"/>
                <w:sz w:val="20"/>
                <w:szCs w:val="20"/>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highlight w:val="lightGray"/>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highlight w:val="lightGray"/>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eastAsia="Calibri" w:hAnsi="Times New Roman" w:cs="Times New Roman"/>
                <w:sz w:val="20"/>
                <w:szCs w:val="20"/>
              </w:rPr>
              <w:t>Art. 1</w:t>
            </w:r>
            <w:r w:rsidR="00F274D3"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rPr>
              <w:t>Sistemele de tarifare electronică pentru utilizarea infrastructurii rutiere din România, care fac obiectul prezentei ordonanţe, trebuie să ofere utilizatorilor acces la Serviciul European de Tarifare Electronica (SETRE).</w:t>
            </w:r>
          </w:p>
        </w:tc>
        <w:tc>
          <w:tcPr>
            <w:tcW w:w="2909" w:type="dxa"/>
            <w:tcBorders>
              <w:top w:val="single" w:sz="4" w:space="0" w:color="auto"/>
              <w:left w:val="single" w:sz="4" w:space="0" w:color="000000"/>
              <w:right w:val="single" w:sz="4" w:space="0" w:color="000000"/>
            </w:tcBorders>
            <w:shd w:val="clear" w:color="auto" w:fill="FFFFFF" w:themeFill="background1"/>
          </w:tcPr>
          <w:p w:rsidR="007C0CEE" w:rsidRPr="009B18D9" w:rsidRDefault="00382650" w:rsidP="00D87DEC">
            <w:pPr>
              <w:widowControl w:val="0"/>
              <w:tabs>
                <w:tab w:val="left" w:pos="12960"/>
              </w:tabs>
              <w:spacing w:after="0" w:line="240" w:lineRule="auto"/>
              <w:jc w:val="center"/>
              <w:rPr>
                <w:rFonts w:ascii="Times New Roman" w:eastAsia="Calibri" w:hAnsi="Times New Roman" w:cs="Times New Roman"/>
                <w:bCs/>
                <w:iCs/>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Definiţii În sensul prezentei directive, se aplică următoarele definiţii: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 sensul prezentei ordonanţe, termenii şi expresiile de mai jos se definesc după cum urmează: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bookmarkStart w:id="1" w:name="do|ar2|lid%3A8"/>
            <w:bookmarkEnd w:id="1"/>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"serviciu de taxare rutieră" înseamnă serviciul care permite utilizatorilor să utilizeze un vehicul într-unul sau mai multe domenii SETRE în temeiul unui contract unic şi, dacă este necesar, cu un echipament de bord (OBE) şi care include: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serviciu de tarifare rutieră - serviciu care permite unui utilizator ca, în baza unui contract unic, să utilizeze un vehicul într-unul sau mai multe domenii SETRE, şi care include: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b/>
                <w:i/>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dacă este necesar, furnizarea unui OBE personalizat utilizatorilor şi menţinerea funcţionalităţii acestuia;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trike/>
                <w:sz w:val="20"/>
                <w:szCs w:val="20"/>
              </w:rPr>
            </w:pPr>
            <w:r w:rsidRPr="009B18D9">
              <w:rPr>
                <w:rFonts w:ascii="Times New Roman" w:eastAsia="Calibri" w:hAnsi="Times New Roman" w:cs="Times New Roman"/>
                <w:sz w:val="20"/>
                <w:szCs w:val="20"/>
              </w:rPr>
              <w:t>punerea la dispoziția utilizatorului, dacă este necesar, a unui echipament de bord (OBE) personalizat şi asigurarea funcţionalităţii acestuia;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p>
        </w:tc>
      </w:tr>
      <w:tr w:rsidR="009B18D9" w:rsidRPr="009B18D9" w:rsidTr="008E68B2">
        <w:trPr>
          <w:gridAfter w:val="1"/>
          <w:wAfter w:w="7" w:type="dxa"/>
          <w:trHeight w:val="78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garantarea faptului că taxa rutieră datorată de utilizator este plătită entităţii care percepe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(ii)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punerea la dispoziția utilizatorului a mijloacelor acceptate pentru efectuarea plății tarifului rutier datorat, sau acceptarea unui alt mijloc de plată folosit de catre acesta;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2650" w:rsidRPr="009B18D9" w:rsidRDefault="00382650"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 alin. </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lit c) 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furnizarea către utilizator a mijloacelor prin care trebuie efectuată plata sau acceptarea unui mijloc de plată existent;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(iii)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încasarea de la utilizator a tarifului rutier datorat;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382650"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 alin. </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lit d) 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colectarea taxei de la utilizator;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(iv)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virarea tarifului rutier, datorat și plătit de către utilizator, către entitatea care îl percepe;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2650" w:rsidRPr="009B18D9" w:rsidRDefault="00382650"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 alin. </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D87DEC">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lit b) 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gestionarea relaţiilor cu clienţii în ceea ce priveşte utilizatorul;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gestionarea relaţiilor cu terții în ceea ce priveşte utilizatorul;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(f)</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punerea în aplicare şi respectarea politicilor de securitate şi confidenţialitate pentru sistemele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(vi)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asigurarea securității şi a confidenţialitatii în funcționarea sistemului de tarifare rutieră.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"furnizor de servicii de taxare rutieră" înseamnă o entitate juridică care furnizează servicii de taxare rutieră în cadrul unuia sau mai multor domenii SETRE pentru una sau mai multe clase de vehicule;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furnizor de servicii de tarifare rutieră </w:t>
            </w:r>
            <w:r w:rsidRPr="009B18D9">
              <w:rPr>
                <w:rFonts w:ascii="Times New Roman" w:eastAsia="Calibri" w:hAnsi="Times New Roman" w:cs="Times New Roman"/>
                <w:sz w:val="20"/>
                <w:szCs w:val="20"/>
              </w:rPr>
              <w:t xml:space="preserve">- </w:t>
            </w:r>
            <w:r w:rsidR="00F54421" w:rsidRPr="00F54421">
              <w:rPr>
                <w:rFonts w:ascii="Times New Roman" w:eastAsia="Calibri" w:hAnsi="Times New Roman" w:cs="Times New Roman"/>
                <w:sz w:val="20"/>
                <w:szCs w:val="20"/>
              </w:rPr>
              <w:t>persoană juridică, cu scop patrimonial, sau orice organism sau autoritate care are personalitate juridică ori care depinde de o autoritate ce are această personalitate, care pune la dispoziția unui utilizator serviciul de tarifare rutieră în cadrul unuia sau mai multor domenii SETRE, pentru una sau mai multe clase de vehicule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Times New Roman" w:hAnsi="Times New Roman" w:cs="Times New Roman"/>
                <w:b/>
                <w:b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"entitate care percepe taxele rutiere" înseamnă o entitate de drept public sau privat care percepe taxe rutiere pentru circulaţia vehiculelor într-un domeniu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entitate care percepe tariful rutier</w:t>
            </w:r>
            <w:r w:rsidRPr="009B18D9">
              <w:rPr>
                <w:rFonts w:ascii="Times New Roman" w:eastAsia="Calibri" w:hAnsi="Times New Roman" w:cs="Times New Roman"/>
                <w:sz w:val="20"/>
                <w:szCs w:val="20"/>
              </w:rPr>
              <w:t xml:space="preserve"> </w:t>
            </w:r>
            <w:r w:rsidR="00544ADC" w:rsidRPr="009B18D9">
              <w:rPr>
                <w:rFonts w:ascii="Times New Roman" w:eastAsia="Calibri" w:hAnsi="Times New Roman" w:cs="Times New Roman"/>
                <w:sz w:val="20"/>
                <w:szCs w:val="20"/>
              </w:rPr>
              <w:t>- entitate de drept public sau privat care percepe un tarif rutier pentru circulaţia vehiculelor într-un domeniu SETRE</w:t>
            </w:r>
            <w:r w:rsidRPr="009B18D9">
              <w:rPr>
                <w:rFonts w:ascii="Times New Roman" w:eastAsia="Calibri"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"entitate desemnată pentru a percepe taxele rutiere" înseamnă o entitate de drept public sau privat care a fost desemnată drept entitate care percepe taxele rutiere în cadrul unui viitor domeniu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entitate </w:t>
            </w:r>
            <w:r w:rsidR="00544ADC" w:rsidRPr="009B18D9">
              <w:rPr>
                <w:rFonts w:ascii="Times New Roman" w:eastAsia="Calibri" w:hAnsi="Times New Roman" w:cs="Times New Roman"/>
                <w:b/>
                <w:sz w:val="20"/>
                <w:szCs w:val="20"/>
              </w:rPr>
              <w:t xml:space="preserve">desemnată să perceapă </w:t>
            </w:r>
            <w:r w:rsidRPr="009B18D9">
              <w:rPr>
                <w:rFonts w:ascii="Times New Roman" w:eastAsia="Calibri" w:hAnsi="Times New Roman" w:cs="Times New Roman"/>
                <w:b/>
                <w:sz w:val="20"/>
                <w:szCs w:val="20"/>
              </w:rPr>
              <w:t>tariful rutier</w:t>
            </w:r>
            <w:r w:rsidRPr="009B18D9">
              <w:rPr>
                <w:rFonts w:ascii="Times New Roman" w:eastAsia="Calibri" w:hAnsi="Times New Roman" w:cs="Times New Roman"/>
                <w:sz w:val="20"/>
                <w:szCs w:val="20"/>
              </w:rPr>
              <w:t xml:space="preserve"> </w:t>
            </w:r>
            <w:r w:rsidR="00544ADC" w:rsidRPr="009B18D9">
              <w:rPr>
                <w:rFonts w:ascii="Times New Roman" w:eastAsia="Calibri" w:hAnsi="Times New Roman" w:cs="Times New Roman"/>
                <w:sz w:val="20"/>
                <w:szCs w:val="20"/>
              </w:rPr>
              <w:t>- entitate de drept public sau privat care percepe un tarif rutier pentru circulaţia vehiculelor într-un domeniu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"Serviciul european de taxare rutieră electronică (SETRE)" înseamnă serviciul de taxare rutieră furnizat unui utilizator SETRE în temeiul unui contract în cadrul unuia sau mai multor domenii SETRE de către un furnizor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Serviciul European de Taxare Rutieră Electronică (SETRE) </w:t>
            </w:r>
            <w:r w:rsidRPr="009B18D9">
              <w:rPr>
                <w:rFonts w:ascii="Times New Roman" w:eastAsia="Calibri" w:hAnsi="Times New Roman" w:cs="Times New Roman"/>
                <w:sz w:val="20"/>
                <w:szCs w:val="20"/>
              </w:rPr>
              <w:t>- serviciul de tarifare rutieră pus de către un furnizor SETRE la dispoziția unui utilizator SETRE în temeiul unui contract unic în cadrul unuia sau mai multor domenii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ind w:left="80" w:right="80"/>
              <w:jc w:val="both"/>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"furnizor SETRE" înseamnă o entitate care, în temeiul unui contract distinct, acordă acces la SETRE unui utilizator SETRE, transferă taxele rutiere entităţii relevante care percepe taxele rutiere şi este înregistrată de către statul membru în care este stabilit;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f)</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furnizor SETRE </w:t>
            </w:r>
            <w:r w:rsidRPr="009B18D9">
              <w:rPr>
                <w:rFonts w:ascii="Times New Roman" w:eastAsia="Calibri" w:hAnsi="Times New Roman" w:cs="Times New Roman"/>
                <w:sz w:val="20"/>
                <w:szCs w:val="20"/>
              </w:rPr>
              <w:t>- furnizor de servicii de tarifare rutieră care, în temeiul unui contract unic, acordă acces la SETRE unui utilizator SETRE, încasează și virează tarifele rutiere către entităţile care le percep, şi care este înregistrat în statul membru al Uniunii Europene în care este stabilit;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highlight w:val="cyan"/>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"utilizator SETRE" înseamnă o persoană fizică sau juridică care a încheiat un contract cu un furnizor SETRE pentru a avea acces la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g)</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utilizator SETRE </w:t>
            </w:r>
            <w:r w:rsidRPr="009B18D9">
              <w:rPr>
                <w:rFonts w:ascii="Times New Roman" w:eastAsia="Calibri" w:hAnsi="Times New Roman" w:cs="Times New Roman"/>
                <w:sz w:val="20"/>
                <w:szCs w:val="20"/>
              </w:rPr>
              <w:t>- persoană fizică sau persoană juridică care a încheiat un contract cu un furnizor SETRE, pentru a avea acces la SETRE</w:t>
            </w:r>
            <w:r w:rsidR="007C0CEE" w:rsidRPr="009B18D9">
              <w:rPr>
                <w:rFonts w:ascii="Times New Roman" w:eastAsia="Calibri"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274"/>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"domeniu SETRE" înseamnă un drum, o reţea rutieră, o structură precum un pod ori un tunel sau un feribot, unde taxele rutiere se colectează prin intermediul unui sistem de taxare rutieră electronică;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h)</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domeniu SETRE </w:t>
            </w:r>
            <w:r w:rsidRPr="009B18D9">
              <w:rPr>
                <w:rFonts w:ascii="Times New Roman" w:eastAsia="Calibri" w:hAnsi="Times New Roman" w:cs="Times New Roman"/>
                <w:sz w:val="20"/>
                <w:szCs w:val="20"/>
              </w:rPr>
              <w:t>- element al infrastructurii rutiere, respectiv un drum public, o structură precum un pod, un tunel ori trecătoare de munte, sau un bac sau un feribot pentru utilizarea caruia tariful rutier datorat este colectat prin intermediul unui sistem de tarifare rutieră electronică;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 conform SETRE" înseamnă ansamblul de elemente ale unui sistem de taxare rutieră electronică ce sunt necesare în mod specific pentru integrarea furnizorilor SETRE în sistem şi pentru exploatarea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sistem conform SETRE </w:t>
            </w:r>
            <w:r w:rsidRPr="009B18D9">
              <w:rPr>
                <w:rFonts w:ascii="Times New Roman" w:eastAsia="Calibri" w:hAnsi="Times New Roman" w:cs="Times New Roman"/>
                <w:sz w:val="20"/>
                <w:szCs w:val="20"/>
              </w:rPr>
              <w:t>- ansamblul de elemente ale unui sistem de tarifare rutieră necesare pentru integrarea furnizorilor SETRE în sistem şi pentru exploatarea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"sistem de taxare rutieră electronică" înseamnă un sistem de colectare a taxelor rutiere în care obligaţia, pentru utilizator, de a plăti taxa rutieră este exclusiv declanşată şi legată de detectarea automată a prezenţei vehiculului într-un anumit loc, </w:t>
            </w:r>
            <w:r w:rsidRPr="009B18D9">
              <w:rPr>
                <w:rFonts w:ascii="Times New Roman" w:eastAsia="Calibri" w:hAnsi="Times New Roman" w:cs="Times New Roman"/>
                <w:sz w:val="20"/>
                <w:szCs w:val="20"/>
              </w:rPr>
              <w:lastRenderedPageBreak/>
              <w:t>prin comunicare la distanţă cu OBE din vehicul sau recunoaşterea automată a numărului de înmatriculare;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j)</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sistem de tarifare rutieră electronică </w:t>
            </w:r>
            <w:r w:rsidRPr="009B18D9">
              <w:rPr>
                <w:rFonts w:ascii="Times New Roman" w:eastAsia="Calibri" w:hAnsi="Times New Roman" w:cs="Times New Roman"/>
                <w:sz w:val="20"/>
                <w:szCs w:val="20"/>
              </w:rPr>
              <w:t xml:space="preserve">- sistem de colectare automată a tarifului rutier, în care obligaţia utilizatorului de a-l plăti este declanşată şi legată, exclusiv, de detectarea automată a prezenţei vehiculului </w:t>
            </w:r>
            <w:r w:rsidRPr="009B18D9">
              <w:rPr>
                <w:rFonts w:ascii="Times New Roman" w:eastAsia="Calibri" w:hAnsi="Times New Roman" w:cs="Times New Roman"/>
                <w:sz w:val="20"/>
                <w:szCs w:val="20"/>
              </w:rPr>
              <w:lastRenderedPageBreak/>
              <w:t>într-un anumit loc de pe infrastructura rutieră, prin comunicare la distanţă cu echipamentul de bord (OBE) din vehicul sau prin recunoaşterea automată a numărului de înmatriculare al vehiculului;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"echipament de bord (OBE)" înseamnă setul complet de componente hardware şi software ce urmează să fie utilizate ca parte a serviciului de taxare rutieră, care este instalat sau transportat la bordul unui vehicul în scopul colectării, stocării, prelucrării şi primirii/ transmiterii la distanţă a datelor, fie ca dispozitiv separat, fie încorporat în vehicul;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k)</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echipament de bord (OBE) </w:t>
            </w:r>
            <w:r w:rsidRPr="009B18D9">
              <w:rPr>
                <w:rFonts w:ascii="Times New Roman" w:eastAsia="Calibri" w:hAnsi="Times New Roman" w:cs="Times New Roman"/>
                <w:sz w:val="20"/>
                <w:szCs w:val="20"/>
              </w:rPr>
              <w:t>- set complet de componente hardware şi software, parte a serviciului de tarifare rutieră electronică, încorporat, instalat sau transportat ca dispozitiv separat la bordul unui vehicul în scopul colectării, stocării, prelucrării, primirii și transmiterii la distanţă a datelor;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ind w:left="80" w:right="80"/>
              <w:jc w:val="both"/>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"furnizor de servicii principal" înseamnă un furnizor de servicii de taxare rutieră cu obligaţii specifice, cum ar fi obligaţia de a semna contracte cu toţi utilizatorii interesaţi, sau drepturi specifice, cum ar fi remuneraţia specifică sau un contract pe termen lung garantat, diferite de drepturile şi obligaţiile altor furnizori de servicii;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l)</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furnizor de servicii principal </w:t>
            </w:r>
            <w:r w:rsidRPr="009B18D9">
              <w:rPr>
                <w:rFonts w:ascii="Times New Roman" w:eastAsia="Calibri" w:hAnsi="Times New Roman" w:cs="Times New Roman"/>
                <w:sz w:val="20"/>
                <w:szCs w:val="20"/>
              </w:rPr>
              <w:t xml:space="preserve">- furnizor de servicii de tarifare rutieră cu obligaţii specifice, cum ar fi obligaţia de a semna contracte cu toţi utilizatorii interesaţi sau </w:t>
            </w:r>
            <w:r w:rsidR="00F54421">
              <w:rPr>
                <w:rFonts w:ascii="Times New Roman" w:eastAsia="Calibri" w:hAnsi="Times New Roman" w:cs="Times New Roman"/>
                <w:sz w:val="20"/>
                <w:szCs w:val="20"/>
              </w:rPr>
              <w:t xml:space="preserve">cu </w:t>
            </w:r>
            <w:r w:rsidRPr="009B18D9">
              <w:rPr>
                <w:rFonts w:ascii="Times New Roman" w:eastAsia="Calibri" w:hAnsi="Times New Roman" w:cs="Times New Roman"/>
                <w:sz w:val="20"/>
                <w:szCs w:val="20"/>
              </w:rPr>
              <w:t>drepturi specifice, cum ar fi remuneraţia specifică sau un contract pe termen lung garantat, diferite de drepturile şi obligaţiile altor furnizori de servicii;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b/>
                <w:b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"element constitutiv de interoperabilitate" înseamnă orice componentă elementară, grup de componente, subansamblu sau ansamblu complet al echipamentului încorporat sau care este destinat a fi încorporat în SETRE, de care depinde, direct sau indirect, interoperabilitatea serviciului, inclusiv obiectele tangibile şi intangibile, cum ar fi software;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m)</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element constitutiv de interoperabilitate </w:t>
            </w:r>
            <w:r w:rsidRPr="009B18D9">
              <w:rPr>
                <w:rFonts w:ascii="Times New Roman" w:eastAsia="Calibri" w:hAnsi="Times New Roman" w:cs="Times New Roman"/>
                <w:sz w:val="20"/>
                <w:szCs w:val="20"/>
              </w:rPr>
              <w:t>- orice componentă elementară, grup de componente, subansamblu sau ansamblu complet al echipamentului intergrat, sau care este destinat a fi integrat în SETRE, de care depinde, direct sau indirect, interoperabilitatea serviciului, inclusiv software-ul;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18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"caracter adecvat pentru utilizare" înseamnă capacitatea unui element constitutiv de interoperabilitate de a realiza şi menţine o performanţă specificată în timpul utilizării, integrat în mod reprezentativ în SETRE în conexiune cu un sistem al entităţii care percepe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n)</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44ADC"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caracter adecvat pentru utilizare </w:t>
            </w:r>
            <w:r w:rsidRPr="009B18D9">
              <w:rPr>
                <w:rFonts w:ascii="Times New Roman" w:eastAsia="Calibri" w:hAnsi="Times New Roman" w:cs="Times New Roman"/>
                <w:sz w:val="20"/>
                <w:szCs w:val="20"/>
              </w:rPr>
              <w:t>- capacitatea unui element constitutiv de interoperabilitate de a realiza şi menţine o performanţa specificată în timpul utilizării, integrat în SETRE în conexiune cu sistemul entităţii care percepe tariful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1162"/>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"informaţii privind taxa rutieră" înseamnă informaţiile definite de entitatea responsabilă care percepe taxele rutiere, necesare pentru stabilirea taxei datorate pentru circulaţia unui vehicul pe un anumit domeniu de taxare şi pentru încheierea tranzacţiei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informaţii privind tariful rutier </w:t>
            </w:r>
            <w:r w:rsidR="00544ADC" w:rsidRPr="009B18D9">
              <w:rPr>
                <w:rFonts w:ascii="Times New Roman" w:eastAsia="Calibri" w:hAnsi="Times New Roman" w:cs="Times New Roman"/>
                <w:sz w:val="20"/>
                <w:szCs w:val="20"/>
              </w:rPr>
              <w:t>- informaţii definite de entitatea care percepe tariful rutier, necesare pentru stabilirea tarifului datorat pentru utilizarea unui vehicul pe un anumit domeniu de tarifare al acesteia</w:t>
            </w:r>
            <w:r w:rsidRPr="009B18D9">
              <w:rPr>
                <w:rFonts w:ascii="Times New Roman" w:eastAsia="Calibri"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07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"declaraţie privind taxa rutieră" înseamnă o declaraţie adresată unei entităţi care percepe taxele rutiere, care confirmă prezenţa unui vehicul într-un domeniu SETRE, într-un format agreat între furnizorul de servicii de taxare rutieră şi entitatea care percepe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p)</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declaraţie privind tariful rutier</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set de informații pus la dispoziția entităţii care percepe tariful rutier de catre furnizorul serviciului de tarifare rutieră, într-un format agreat, care confirmă prezenţa unui vehicul în domeniul SETRE tarifat de aceasta;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"parametri de clasificare a vehiculelor" înseamnă informaţiile cu privire la vehicul, potrivit cărora se calculează taxele rutiere pe baza informaţiilor privind taxa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q)</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parametri de clasificare a vehiculelor</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set de informaţii cu privire la vehicul, pe baza cărora se calculează tariful rutier datorat pentru utilizarea unui vehicul pe un anumit domeniu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"serviciu administrativ" înseamnă sistemul electronic central utilizat </w:t>
            </w:r>
            <w:r w:rsidRPr="009B18D9">
              <w:rPr>
                <w:rFonts w:ascii="Times New Roman" w:eastAsia="Calibri" w:hAnsi="Times New Roman" w:cs="Times New Roman"/>
                <w:bCs/>
                <w:iCs/>
                <w:sz w:val="20"/>
                <w:szCs w:val="20"/>
              </w:rPr>
              <w:t xml:space="preserve">de către entitatea care percepe taxele rutiere, de către un grup de entităţi care percep taxele rutiere care au creat un centru </w:t>
            </w:r>
            <w:r w:rsidRPr="009B18D9">
              <w:rPr>
                <w:rFonts w:ascii="Times New Roman" w:eastAsia="Calibri" w:hAnsi="Times New Roman" w:cs="Times New Roman"/>
                <w:bCs/>
                <w:iCs/>
                <w:sz w:val="20"/>
                <w:szCs w:val="20"/>
              </w:rPr>
              <w:lastRenderedPageBreak/>
              <w:t>de interoperabilitate, sau de către furnizorul SETRE</w:t>
            </w:r>
            <w:r w:rsidRPr="009B18D9">
              <w:rPr>
                <w:rFonts w:ascii="Times New Roman" w:eastAsia="Calibri" w:hAnsi="Times New Roman" w:cs="Times New Roman"/>
                <w:b/>
                <w:bCs/>
                <w:i/>
                <w:iCs/>
                <w:sz w:val="20"/>
                <w:szCs w:val="20"/>
              </w:rPr>
              <w:t xml:space="preserve"> </w:t>
            </w:r>
            <w:r w:rsidRPr="009B18D9">
              <w:rPr>
                <w:rFonts w:ascii="Times New Roman" w:eastAsia="Calibri" w:hAnsi="Times New Roman" w:cs="Times New Roman"/>
                <w:sz w:val="20"/>
                <w:szCs w:val="20"/>
              </w:rPr>
              <w:t>pentru a colecta, a prelucra şi a transmite informaţii în cadrul unui sistem de taxare rutieră electronică;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r</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serviciu administrativ</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xml:space="preserve">- sistem informatic central utilizat de către entitatea care percepe tariful rutier, de către un grup de entităţi care percep tariful rutier și care au creat </w:t>
            </w:r>
            <w:r w:rsidR="000B2946" w:rsidRPr="009B18D9">
              <w:rPr>
                <w:rFonts w:ascii="Times New Roman" w:eastAsia="Calibri" w:hAnsi="Times New Roman" w:cs="Times New Roman"/>
                <w:sz w:val="20"/>
                <w:szCs w:val="20"/>
              </w:rPr>
              <w:lastRenderedPageBreak/>
              <w:t>un centru de interoperabilitate, sau de către furnizorul SETRE pentru a colecta, a prelucra şi a transmite informaţii în cadrul unui sistem de tarifare rutieră;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 modificat în mod substanţial" înseamnă un sistem existent de taxare rutieră electronică ce a suferit sau suferă o schimbare care impune furnizorilor SETRE să facă modificări ale elementelor constitutive de interoperabilitate care sunt în funcţiune, precum reprogramarea sau adaptarea interfeţelor serviciului lor administrativ, într-o asemenea măsură încât este necesară reacreditarea;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s</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sistem modificat în mod substanţial</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sistem de tarifare rutieră care a suferit sau suferă o schimbare care impune furnizorilor SETRE autorizaţi să facă modificări ale elementelor constitutive de interoperabilitate în funcţiune, cum ar fi reprogramarea sau adaptarea interfeţelor serviciului lor administrativ, într-o asemenea măsură încât este necesară reautorizarea;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088"/>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"acreditare" înseamnă procesul definit şi gestionat de entitatea care percepe taxele rutiere, prin care un furnizor SETRE trebuie să treacă înainte de a fi autorizat să furnizeze SETRE într-un domeniu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t</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6843D2"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autorizare</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proces definit şi gestionat de entitatea care percepe tariful rutier prin care trebuie să treacă un furnizor SETRE înainte de a fi autorizat să furnizeze SETRE în domeniul SETRE tarifat de aceasta;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"taxă rutieră" înseamnă taxa care trebuie plătită de către utilizatorul căilor rutiere pentru a circula pe un anumit drum, pe o anumită reţea rutieră, pe o anumită structură cum ar fi un pod sau un tunel, sau cu feribotul;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u</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tarif rutier</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tariful care trebuie achitat de un utilizator al căii rutiere pentru a circula cu un vehicul pe un drum public sau pe o structură precum un pod, un tunel ori trecătoare de munte, sau cu un bac sau feribot;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047A3" w:rsidRPr="009B18D9" w:rsidRDefault="00D047A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"neplata unei taxe rutiere" înseamnă contravenţia constând în neplata de către un utilizator al căilor rutiere a unei taxe rutiere într-un stat membru, definită de dispoziţiile naţionale relevante ale statului membru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v</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neplata tarifului rutier</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fapta ce constă în neîndeplinirea de către un utilizator al căii rutiere a obligației de plată a tarifului rutier datorat;</w:t>
            </w:r>
          </w:p>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 membru de înmatriculare" înseamnă statul membru unde este înmatriculat vehiculul care face obiectul plăţii taxei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w</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stat membru de înmatriculare</w:t>
            </w:r>
            <w:r w:rsidRPr="009B18D9">
              <w:rPr>
                <w:rFonts w:ascii="Times New Roman" w:eastAsia="Calibri" w:hAnsi="Times New Roman" w:cs="Times New Roman"/>
                <w:sz w:val="20"/>
                <w:szCs w:val="20"/>
              </w:rPr>
              <w:t xml:space="preserve"> </w:t>
            </w:r>
            <w:r w:rsidR="000B2946" w:rsidRPr="009B18D9">
              <w:rPr>
                <w:rFonts w:ascii="Times New Roman" w:eastAsia="Calibri" w:hAnsi="Times New Roman" w:cs="Times New Roman"/>
                <w:sz w:val="20"/>
                <w:szCs w:val="20"/>
              </w:rPr>
              <w:t>- statul unde este înmatriculat vehiculul care face obiectul plăţii tarifului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trike/>
                <w:sz w:val="20"/>
                <w:szCs w:val="20"/>
                <w:highlight w:val="yellow"/>
                <w:shd w:val="clear" w:color="auto" w:fill="00FF00"/>
              </w:rPr>
            </w:pPr>
          </w:p>
        </w:tc>
      </w:tr>
      <w:tr w:rsidR="009B18D9" w:rsidRPr="009B18D9" w:rsidTr="008E68B2">
        <w:trPr>
          <w:gridAfter w:val="1"/>
          <w:wAfter w:w="7" w:type="dxa"/>
          <w:trHeight w:val="613"/>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"punct naţional de contact" înseamnă o autoritate competentă a unui stat membru desemnată pentru schimbul transfrontalier de date privind înmatricularea vehiculelor;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x</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punct naţional de contact</w:t>
            </w:r>
            <w:r w:rsidRPr="009B18D9">
              <w:rPr>
                <w:rFonts w:ascii="Times New Roman" w:eastAsia="Calibri" w:hAnsi="Times New Roman" w:cs="Times New Roman"/>
                <w:sz w:val="20"/>
                <w:szCs w:val="20"/>
              </w:rPr>
              <w:t xml:space="preserve"> </w:t>
            </w:r>
            <w:r w:rsidR="005A2B0E" w:rsidRPr="009B18D9">
              <w:rPr>
                <w:rFonts w:ascii="Times New Roman" w:eastAsia="Calibri" w:hAnsi="Times New Roman" w:cs="Times New Roman"/>
                <w:sz w:val="20"/>
                <w:szCs w:val="20"/>
              </w:rPr>
              <w:t>- autoritate competentă a unui stat membru al Uniunii Europene, desemnată pentru schimbul transfrontalier de date privind înmatricularea vehiculelor și deținătorii acestora;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"căutare automată" înseamnă o procedură de acces online pentru consultarea bazei de date a unuia, a mai multor sau a tuturor statelor membre;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y</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A2B0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b/>
                <w:sz w:val="20"/>
                <w:szCs w:val="20"/>
              </w:rPr>
              <w:t xml:space="preserve">căutare automată </w:t>
            </w:r>
            <w:r w:rsidRPr="009B18D9">
              <w:rPr>
                <w:rFonts w:ascii="Times New Roman" w:eastAsia="Calibri" w:hAnsi="Times New Roman" w:cs="Times New Roman"/>
                <w:sz w:val="20"/>
                <w:szCs w:val="20"/>
              </w:rPr>
              <w:t>- procedură de acces online pentru consultarea bazei de date a unuia, a mai multor, sau a tuturor statelor membre ale Uniunii Europene;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"vehicul" înseamnă un autovehicul sau un ansamblu de vehicule articulate care este destinat sau utilizat pentru transportul rutier de persoane sau de mărfuri;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63BFB"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z</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5A2B0E" w:rsidP="00D87DEC">
            <w:pPr>
              <w:widowControl w:val="0"/>
              <w:spacing w:after="0" w:line="240" w:lineRule="auto"/>
              <w:jc w:val="both"/>
              <w:rPr>
                <w:rFonts w:ascii="Times New Roman" w:eastAsia="Calibri" w:hAnsi="Times New Roman" w:cs="Times New Roman"/>
                <w:sz w:val="20"/>
                <w:szCs w:val="20"/>
              </w:rPr>
            </w:pPr>
            <w:bookmarkStart w:id="2" w:name="_Hlk72826992"/>
            <w:r w:rsidRPr="009B18D9">
              <w:rPr>
                <w:rFonts w:ascii="Times New Roman" w:eastAsia="Calibri" w:hAnsi="Times New Roman" w:cs="Times New Roman"/>
                <w:b/>
                <w:sz w:val="20"/>
                <w:szCs w:val="20"/>
              </w:rPr>
              <w:t xml:space="preserve">vehicul </w:t>
            </w:r>
            <w:bookmarkStart w:id="3" w:name="_Hlk72827025"/>
            <w:r w:rsidRPr="009B18D9">
              <w:rPr>
                <w:rFonts w:ascii="Times New Roman" w:eastAsia="Calibri" w:hAnsi="Times New Roman" w:cs="Times New Roman"/>
                <w:sz w:val="20"/>
                <w:szCs w:val="20"/>
              </w:rPr>
              <w:t>- un autovehicul sau un ansamblu de vehicule destinat pentru transportul rutier de persoane</w:t>
            </w:r>
            <w:r w:rsidR="00382650" w:rsidRPr="009B18D9">
              <w:rPr>
                <w:rFonts w:ascii="Times New Roman" w:eastAsia="Calibri" w:hAnsi="Times New Roman" w:cs="Times New Roman"/>
                <w:sz w:val="20"/>
                <w:szCs w:val="20"/>
              </w:rPr>
              <w:t xml:space="preserve"> sau</w:t>
            </w:r>
            <w:r w:rsidRPr="009B18D9">
              <w:rPr>
                <w:rFonts w:ascii="Times New Roman" w:eastAsia="Calibri" w:hAnsi="Times New Roman" w:cs="Times New Roman"/>
                <w:sz w:val="20"/>
                <w:szCs w:val="20"/>
              </w:rPr>
              <w:t xml:space="preserve"> de mărfuri;</w:t>
            </w:r>
            <w:bookmarkEnd w:id="2"/>
            <w:bookmarkEnd w:id="3"/>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"deţinătorul vehiculului" înseamnă persoana pe numele căreia este înmatriculat vehiculul, astfel cum este definită în legislaţia statului membru de înmatriculare;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645021"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aa</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F41F5E" w:rsidP="00D87DEC">
            <w:pPr>
              <w:widowControl w:val="0"/>
              <w:spacing w:after="0" w:line="240" w:lineRule="auto"/>
              <w:jc w:val="both"/>
              <w:rPr>
                <w:rFonts w:ascii="Times New Roman" w:eastAsia="Calibri" w:hAnsi="Times New Roman" w:cs="Times New Roman"/>
                <w:b/>
                <w:sz w:val="20"/>
                <w:szCs w:val="20"/>
              </w:rPr>
            </w:pPr>
            <w:r w:rsidRPr="009B18D9">
              <w:rPr>
                <w:rFonts w:ascii="Times New Roman" w:eastAsia="Calibri" w:hAnsi="Times New Roman" w:cs="Times New Roman"/>
                <w:b/>
                <w:sz w:val="20"/>
                <w:szCs w:val="20"/>
              </w:rPr>
              <w:t>detinatorul</w:t>
            </w:r>
            <w:r w:rsidR="007C0CEE" w:rsidRPr="009B18D9">
              <w:rPr>
                <w:rFonts w:ascii="Times New Roman" w:eastAsia="Calibri" w:hAnsi="Times New Roman" w:cs="Times New Roman"/>
                <w:b/>
                <w:sz w:val="20"/>
                <w:szCs w:val="20"/>
              </w:rPr>
              <w:t xml:space="preserve"> vehiculului</w:t>
            </w:r>
            <w:r w:rsidR="007C0CEE" w:rsidRPr="009B18D9">
              <w:rPr>
                <w:rFonts w:ascii="Times New Roman" w:eastAsia="Calibri" w:hAnsi="Times New Roman" w:cs="Times New Roman"/>
                <w:b/>
                <w:i/>
                <w:sz w:val="20"/>
                <w:szCs w:val="20"/>
              </w:rPr>
              <w:t xml:space="preserve"> </w:t>
            </w:r>
            <w:r w:rsidR="005A2B0E" w:rsidRPr="009B18D9">
              <w:rPr>
                <w:rFonts w:ascii="Times New Roman" w:eastAsia="Calibri" w:hAnsi="Times New Roman" w:cs="Times New Roman"/>
                <w:sz w:val="20"/>
                <w:szCs w:val="20"/>
              </w:rPr>
              <w:t>- persoană fizică sau juridică înscrisă în baza de date a autorității de înmatriculare dintr-un stat membru al Uniunii Europene, ca proprietar sau, după caz, ca utilizator al vehiculului în baza unui drept legal.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b/>
                <w:i/>
                <w:sz w:val="20"/>
                <w:szCs w:val="20"/>
                <w:shd w:val="clear" w:color="auto" w:fill="00FF00"/>
              </w:rPr>
            </w:pPr>
          </w:p>
        </w:tc>
      </w:tr>
      <w:tr w:rsidR="009B18D9" w:rsidRPr="009B18D9" w:rsidTr="008E68B2">
        <w:trPr>
          <w:gridAfter w:val="1"/>
          <w:wAfter w:w="7" w:type="dxa"/>
          <w:trHeight w:val="46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"vehicul greu" înseamnă un vehicul cu o masă maximă autorizată care depăşeşte 3,5 tone;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46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29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"vehicul uşor" înseamnă un vehicul cu o masă maximă autorizată care nu depăşeşte 3,5 tone.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22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Soluţii tehnologice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Toate sistemele de taxare rutieră electronică noi care necesită instalarea sau utilizarea de OBE utilizează, în scopul efectuării de tranzacţii de taxare rutieră electronică, una sau mai multe dintre următoarele tehnologii: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Sistemele de tarifare rutiera care </w:t>
            </w:r>
            <w:r w:rsidR="00F54421">
              <w:rPr>
                <w:rFonts w:ascii="Times New Roman" w:eastAsia="Calibri" w:hAnsi="Times New Roman" w:cs="Times New Roman"/>
                <w:sz w:val="20"/>
                <w:szCs w:val="20"/>
              </w:rPr>
              <w:t>vor fi</w:t>
            </w:r>
            <w:r w:rsidRPr="009B18D9">
              <w:rPr>
                <w:rFonts w:ascii="Times New Roman" w:eastAsia="Calibri" w:hAnsi="Times New Roman" w:cs="Times New Roman"/>
                <w:sz w:val="20"/>
                <w:szCs w:val="20"/>
              </w:rPr>
              <w:t xml:space="preserve"> date în exploatare în România după intrarea în vigoare a prezentei ordonanţe care necesită instalarea sau utilizarea unui echipament de bord (OBE)</w:t>
            </w:r>
            <w:r w:rsidR="00F54421">
              <w:rPr>
                <w:rFonts w:ascii="Times New Roman" w:eastAsia="Calibri" w:hAnsi="Times New Roman" w:cs="Times New Roman"/>
                <w:sz w:val="20"/>
                <w:szCs w:val="20"/>
              </w:rPr>
              <w:t xml:space="preserve">, vor </w:t>
            </w:r>
            <w:r w:rsidRPr="009B18D9">
              <w:rPr>
                <w:rFonts w:ascii="Times New Roman" w:eastAsia="Calibri" w:hAnsi="Times New Roman" w:cs="Times New Roman"/>
                <w:sz w:val="20"/>
                <w:szCs w:val="20"/>
              </w:rPr>
              <w:t>utiliz</w:t>
            </w:r>
            <w:r w:rsidR="00F54421">
              <w:rPr>
                <w:rFonts w:ascii="Times New Roman" w:eastAsia="Calibri" w:hAnsi="Times New Roman" w:cs="Times New Roman"/>
                <w:sz w:val="20"/>
                <w:szCs w:val="20"/>
              </w:rPr>
              <w:t>a</w:t>
            </w:r>
            <w:r w:rsidRPr="009B18D9">
              <w:rPr>
                <w:rFonts w:ascii="Times New Roman" w:eastAsia="Calibri" w:hAnsi="Times New Roman" w:cs="Times New Roman"/>
                <w:sz w:val="20"/>
                <w:szCs w:val="20"/>
              </w:rPr>
              <w:t>, în scopul colectării tarifelor rutiere, una sau mai multe din următoarele tehnologii: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highlight w:val="yellow"/>
                <w:shd w:val="clear" w:color="auto" w:fill="00FF00"/>
              </w:rPr>
            </w:pPr>
          </w:p>
        </w:tc>
      </w:tr>
      <w:tr w:rsidR="009B18D9" w:rsidRPr="009B18D9" w:rsidTr="008E68B2">
        <w:trPr>
          <w:gridAfter w:val="1"/>
          <w:wAfter w:w="7" w:type="dxa"/>
          <w:trHeight w:val="12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poziţionarea prin satelit;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poziţionarea prin satelit;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comunicaţiile mobile;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6F0271"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comunicaţii mobile </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tehnologia cu microunde cu frecvenţa de 5,8 GHz.</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6F0271"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r w:rsidR="007C0CEE" w:rsidRPr="009B18D9">
              <w:rPr>
                <w:rFonts w:ascii="Times New Roman" w:eastAsia="Calibri"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tehnologie cu microunde cu frecvenţa de 5,8 GHz.</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shd w:val="clear" w:color="auto" w:fill="00FF0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Sistemele de taxare rutieră electronică existente care necesită instalarea sau utilizarea de OBE şi utilizează alte tehnologii se conformează cerinţelor prevăzute la primul paragraf din prezentul alineat dacă se întreprind acţiuni de îmbunătăţire tehnologică substanţiale.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Sistemele de tarifare rutieră electronică, în funcțiune în România la data intrării în vigoare a prezentei ordonanţe, care necesită utilizarea de OBE şi folosesc alte tehnologii decât cele prevăzute la alin. (1), trebuie sa fie actualizate în conformitate cu acestea prin asigurarea acţiunilor de îmbunătăţire tehnologică necesare.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Comisia solicită organismelor de standardizare relevante, în conformitate cu procedura prevăzută de Directiva (UE) </w:t>
            </w:r>
            <w:hyperlink r:id="rId8">
              <w:r w:rsidRPr="009B18D9">
                <w:rPr>
                  <w:rFonts w:ascii="Times New Roman" w:eastAsia="Calibri" w:hAnsi="Times New Roman" w:cs="Times New Roman"/>
                  <w:sz w:val="20"/>
                  <w:szCs w:val="20"/>
                </w:rPr>
                <w:t>2015/1535</w:t>
              </w:r>
            </w:hyperlink>
            <w:r w:rsidRPr="009B18D9">
              <w:rPr>
                <w:rFonts w:ascii="Times New Roman" w:eastAsia="Calibri" w:hAnsi="Times New Roman" w:cs="Times New Roman"/>
                <w:sz w:val="20"/>
                <w:szCs w:val="20"/>
              </w:rPr>
              <w:t xml:space="preserve"> a Parlamentului European şi a Consiliului (</w:t>
            </w:r>
            <w:r w:rsidRPr="009B18D9">
              <w:rPr>
                <w:rFonts w:ascii="Times New Roman" w:eastAsia="Calibri" w:hAnsi="Times New Roman" w:cs="Times New Roman"/>
                <w:sz w:val="20"/>
                <w:szCs w:val="20"/>
                <w:vertAlign w:val="superscript"/>
              </w:rPr>
              <w:t>12</w:t>
            </w:r>
            <w:r w:rsidRPr="009B18D9">
              <w:rPr>
                <w:rFonts w:ascii="Times New Roman" w:eastAsia="Calibri" w:hAnsi="Times New Roman" w:cs="Times New Roman"/>
                <w:sz w:val="20"/>
                <w:szCs w:val="20"/>
              </w:rPr>
              <w:t>), să adopte cu celeritate standardele aplicabile sistemelor de taxare rutieră electronică în ceea ce priveşte tehnologiile enumerate la alineatul (1) primul paragraf şi tehnologia ANPR şi să le actualizeze unde este necesar. Comisia solicită organismelor de standardizare să asigure compatibilitatea continuă a elementelor constitutive de interoperabilitate.</w:t>
            </w:r>
          </w:p>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vertAlign w:val="superscript"/>
              </w:rPr>
              <w:t>12</w:t>
            </w:r>
            <w:r w:rsidRPr="009B18D9">
              <w:rPr>
                <w:rFonts w:ascii="Times New Roman" w:eastAsia="Calibri" w:hAnsi="Times New Roman" w:cs="Times New Roman"/>
                <w:sz w:val="20"/>
                <w:szCs w:val="20"/>
              </w:rPr>
              <w:t xml:space="preserve">)Directiva (UE) </w:t>
            </w:r>
            <w:hyperlink r:id="rId9">
              <w:r w:rsidRPr="009B18D9">
                <w:rPr>
                  <w:rFonts w:ascii="Times New Roman" w:eastAsia="Calibri" w:hAnsi="Times New Roman" w:cs="Times New Roman"/>
                  <w:sz w:val="20"/>
                  <w:szCs w:val="20"/>
                </w:rPr>
                <w:t>2015/1535</w:t>
              </w:r>
            </w:hyperlink>
            <w:r w:rsidRPr="009B18D9">
              <w:rPr>
                <w:rFonts w:ascii="Times New Roman" w:eastAsia="Calibri" w:hAnsi="Times New Roman" w:cs="Times New Roman"/>
                <w:sz w:val="20"/>
                <w:szCs w:val="20"/>
              </w:rPr>
              <w:t xml:space="preserve"> a Parlamentului European şi a Consiliului din 9 septembrie 2015 referitoare la procedura de furnizare de informaţii în domeniul reglementărilor tehnice şi al normelor privind serviciile societăţii informaţionale (JO L 241, 17.9.2015, p.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care utilizează tehnologie de poziţionare prin satelit şi este introdus pe piaţă după 19 octombrie 2021 trebuie să fie compatibil cu serviciile de poziţionare furnizate de sistemele Galileo şi Serviciul european geostaţionar mixt de navigare (EGNOS).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care utilizează tehnologia de poziţionare prin satelit şi este introdus pe piaţă după data de 19 octombrie 2021 trebuie sa fie compatibil cu serviciile de poziţionare furnizate de sistemele Galileo şi Serviciul european geostaţionar mixt de navigare (EGNOS).</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334"/>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Fără a aduce atingere alineatului (6), furnizorii SETRE pun la dispoziţia utilizatorilor SETRE OBE care sunt adecvate pentru utilizare, interoperabile şi capabile să comunice cu sistemele relevante de taxare rutieră electronică în funcţiune în statele membre şi care utilizează tehnologiile enumerate la alineatul (1) primul paragraf.</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trebuie sa fie adecvat pentru utilizare, interoperabil şi capabil să comunice cu sisteme de tarifare rutieră electronică în funcţiune în statele membre care utilizează tehnologiile prevăzute la alin. (1);</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b/>
                <w:i/>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OBE pot utiliza propriul hardware şi software, pot utiliza elemente ale unui alt hardware şi software prezente în vehicul, </w:t>
            </w:r>
            <w:r w:rsidRPr="009B18D9">
              <w:rPr>
                <w:rFonts w:ascii="Times New Roman" w:eastAsia="Calibri" w:hAnsi="Times New Roman" w:cs="Times New Roman"/>
                <w:sz w:val="20"/>
                <w:szCs w:val="20"/>
              </w:rPr>
              <w:lastRenderedPageBreak/>
              <w:t xml:space="preserve">sau ambele.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OBE pot utiliza propriul hardware şi software, pot utiliza elemente ale unui alt hardware şi software prezente în </w:t>
            </w:r>
            <w:r w:rsidRPr="009B18D9">
              <w:rPr>
                <w:rFonts w:ascii="Times New Roman" w:eastAsia="Calibri" w:hAnsi="Times New Roman" w:cs="Times New Roman"/>
                <w:sz w:val="20"/>
                <w:szCs w:val="20"/>
              </w:rPr>
              <w:lastRenderedPageBreak/>
              <w:t>vehicul, sau ambele;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 scopul comunicării cu alte sisteme hardware prezente în vehicul, OBE pot utiliza alte tehnologii decât cele enumerate la alineatul (1) primul paragraf, cu condiţia garantării securităţii, calităţii serviciului şi confidenţialităţii.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pot utiliza alte tehnologii decât cele prevăzute la alin. (1), în scopul comunicării cu alte sisteme hardware prezente în vehicul, cu condiţia garantării securităţii, calităţii serviciului şi confidenţialităţii;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pentru SETRE sunt autorizate să faciliteze alte servicii decât taxarea rutieră, cu condiţia ca operarea acestor servicii să nu interfereze cu serviciile de taxare rutieră în niciun domeniu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pentru SETRE pot să faciliteze utilizarea și altor servicii decât tarifarea rutieră, cu condiţia ca operarea acestor servicii să nu interfereze cu serviciile de tarifare rutieră în niciun domeniu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shd w:val="clear" w:color="auto" w:fill="00FF0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Fără a aduce atingere dreptului statelor membre de a introduce sisteme de taxare rutieră electronică pentru vehiculele uşoare bazate pe poziţionarea prin satelit sau pe comunicaţiile mobile, furnizorii SETRE pot furniza până la 31 decembrie 2027 utilizatorilor de vehicule uşoare OBE care sunt adecvate pentru utilizare numai cu tehnologia cu microunde cu frecvenţa de 5,8 GHz, care urmează a fi utilizate în domenii SETRE care nu necesită tehnologii de poziţionare prin satelit sau de comunicaţii mobile.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3</w:t>
            </w:r>
            <w:r w:rsidR="0088165E"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 xml:space="preserve">(8)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OBE care sunt adecvate pentru utilizare numai cu tehnologia cu microunde cu frecvenţa de 5,8 GHz, care urmează a fi utilizate în domenii SETRE care nu necesită tehnologii de poziţionare prin satelit sau de comunicaţii mobile, pot fi puse la dispoziție și utilizate, pentru autoturisme și vehicule cu masa totală maximă admisă mai mică sau egală cu 3,5 tone, numai până la 31 decembrie 2027.</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b/>
                <w:i/>
                <w:sz w:val="20"/>
                <w:szCs w:val="20"/>
              </w:rPr>
            </w:pPr>
          </w:p>
        </w:tc>
      </w:tr>
      <w:tr w:rsidR="009B18D9" w:rsidRPr="009B18D9" w:rsidTr="00D87DEC">
        <w:trPr>
          <w:trHeight w:val="1"/>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II: PRINCIPIILE GENERALE ALE SETRE</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Înregistrarea furnizorilor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b/>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eastAsia="Calibri" w:hAnsi="Times New Roman" w:cs="Times New Roman"/>
                <w:sz w:val="20"/>
                <w:szCs w:val="20"/>
                <w:highlight w:val="lightGray"/>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Fiecare stat membru stabileşte o procedură pentru înregistrarea furnizorilor SETRE. Acesta acordă înregistrarea entităţilor care sunt stabilite pe teritoriul său, care solicită înregistrarea şi care pot demonstra că îndeplinesc următoarele cerinţe: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w:t>
            </w:r>
            <w:r w:rsidR="00D87DEC">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 xml:space="preserve">4 (1)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47B8"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lang w:val="ro-RO"/>
              </w:rPr>
              <w:t>Înregistrarea în România ca furnizor SETRE se face de către Institutul Național de Cercetare Dezvoltare în Informatică ICI București, denumit în continuare ICI București, și se acordă numai persoanelor juridice înmatriculate în România conform legislației în vigoare, la solicitarea acestora, dacă îndeplinesc următoarele cerinţe: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16D8" w:rsidRPr="009B18D9" w:rsidRDefault="00C816D8" w:rsidP="00D87DEC">
            <w:pPr>
              <w:widowControl w:val="0"/>
              <w:spacing w:after="0" w:line="240" w:lineRule="auto"/>
              <w:jc w:val="both"/>
              <w:rPr>
                <w:rFonts w:ascii="Times New Roman" w:hAnsi="Times New Roman" w:cs="Times New Roman"/>
                <w:sz w:val="20"/>
                <w:szCs w:val="20"/>
              </w:rPr>
            </w:pPr>
          </w:p>
        </w:tc>
      </w:tr>
      <w:tr w:rsidR="009B18D9" w:rsidRPr="009B18D9" w:rsidTr="008E68B2">
        <w:trPr>
          <w:gridAfter w:val="1"/>
          <w:wAfter w:w="7" w:type="dxa"/>
          <w:trHeight w:val="22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deţin o certificare EN ISO 9001 sau o certificare echivalentă;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deţin un certificat de conformitate a sistemului de management al calității pentru activitatea pe care o desfăsoară în conformitate cu EN ISO 9001 acordat de către un organism de certificare acreditat;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both"/>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dispun de echipamentul tehnic şi de declaraţia CE sau certificatul care atestă conformitatea elementelor constitutive de interoperabilitate cu specificaţiile;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dispun de echipamentul tehnic şi de declaraţia CE sau certificatul care atestă conformitatea elementelor constitutive de interoperabilitate cu specificaţiile;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au competenţele necesare pentru furnizarea serviciilor de taxare rutieră electronică </w:t>
            </w:r>
            <w:r w:rsidRPr="009B18D9">
              <w:rPr>
                <w:rFonts w:ascii="Times New Roman" w:eastAsia="Calibri" w:hAnsi="Times New Roman" w:cs="Times New Roman"/>
                <w:bCs/>
                <w:iCs/>
                <w:sz w:val="20"/>
                <w:szCs w:val="20"/>
              </w:rPr>
              <w:t>sau în alte domenii relevante;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au competenţele necesare pentru furnizarea serviciilor de taxare rutieră electronică;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au o capacitate financiară corespunzătoare;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au o capacitate financiară corespunzătoare;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menţin un plan de gestionare globală a riscurilor, care este auditat cel puţin o dată la doi ani;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menţin un plan de gestionare globală a riscurilor, care este auditat cel puţin o dată la doi ani;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(f)</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au o reputaţie bună.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(f)</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au o reputaţie bună.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C0CEE" w:rsidRPr="009B18D9" w:rsidRDefault="007C0CEE"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w:t>
            </w:r>
            <w:r w:rsidR="00D87DEC">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rPr>
              <w:t>4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lang w:val="ro-RO"/>
              </w:rPr>
              <w:t xml:space="preserve">Procedura de înregistrare a furnizorilor SETRE se aprobă în termen de 90 de zile de la intrarea în vigoare a prezentei ordonanțe prin ordin comun al secretarului general al Guvernului și al ministrului transporturilor și </w:t>
            </w:r>
            <w:r w:rsidRPr="009B18D9">
              <w:rPr>
                <w:rFonts w:ascii="Times New Roman" w:hAnsi="Times New Roman" w:cs="Times New Roman"/>
                <w:sz w:val="20"/>
                <w:szCs w:val="20"/>
                <w:lang w:val="ro-RO"/>
              </w:rPr>
              <w:lastRenderedPageBreak/>
              <w:t>infrastructurii.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382650"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bCs/>
                <w:iCs/>
                <w:sz w:val="20"/>
                <w:szCs w:val="20"/>
              </w:rPr>
              <w:lastRenderedPageBreak/>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b/>
                <w:sz w:val="20"/>
                <w:szCs w:val="20"/>
              </w:rPr>
            </w:pPr>
            <w:r w:rsidRPr="009B18D9">
              <w:rPr>
                <w:rFonts w:ascii="Times New Roman" w:eastAsia="Calibri" w:hAnsi="Times New Roman" w:cs="Times New Roman"/>
                <w:b/>
                <w:sz w:val="20"/>
                <w:szCs w:val="20"/>
              </w:rPr>
              <w:t>Drepturile şi obligaţiile furnizorilor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5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A8299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Furnizorii SETRE înregistrați în România, care oferă SETRE pe domenii din România au următoarele obligații: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Statele membre iau măsurile necesare pentru a se asigura că furnizorii SETRE pe care i-au înregistrat încheie contracte SETRE care acoperă toate domeniile SETRE pe teritoriile a cel puţin patru state membre în termen de 36 de luni de la înregistrarea lor în conformitate cu articolul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să încheie contracte SETRE care acoperă toate domeniile SETRE pe teritoriile a cel puţin patru state membre ale Uniunii Europene în termen de 36 de luni de la înregistrare;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Acestea iau măsurile necesare pentru a se asigura că furnizorii SETRE respectivi încheie contracte care acoperă toate domeniile SETRE într-un anumit stat membru în termen de 24 de luni de la încheierea primului contract în statul membru respectiv, cu excepţia acelor domenii SETRE în care entităţile responsabile care percep taxele rutiere nu respectă articolul 6 alineatul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să încheie contracte care acoperă toate domeniile SETRE într-un anumit stat membru al Uniunii Europene în termen de 24 de luni de la încheierea primului contract în statul membru respectiv, cu excepţia acelor domenii SETRE în care entităţile responsabile care percep tarifele rutiere nu respectă prevederile art.6 lit. e) și lit. f);</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Statele membre iau măsurile necesare pentru a se asigura că furnizorii SETRE pe care i-au înregistrat menţin în permanenţă acoperirea tuturor domeniilor SETRE după ce au încheiat contracte aferente.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să </w:t>
            </w:r>
            <w:r w:rsidR="00243310" w:rsidRPr="009B18D9">
              <w:rPr>
                <w:rFonts w:ascii="Times New Roman" w:eastAsia="Calibri" w:hAnsi="Times New Roman" w:cs="Times New Roman"/>
                <w:sz w:val="20"/>
                <w:szCs w:val="20"/>
              </w:rPr>
              <w:t xml:space="preserve">menţina </w:t>
            </w:r>
            <w:r w:rsidR="00243310" w:rsidRPr="009B18D9">
              <w:rPr>
                <w:rFonts w:ascii="Times New Roman" w:eastAsia="Calibri" w:hAnsi="Times New Roman" w:cs="Times New Roman"/>
                <w:bCs/>
                <w:iCs/>
                <w:sz w:val="20"/>
                <w:szCs w:val="20"/>
              </w:rPr>
              <w:t>în permanenţă</w:t>
            </w:r>
            <w:r w:rsidR="00243310" w:rsidRPr="009B18D9">
              <w:rPr>
                <w:rFonts w:ascii="Times New Roman" w:eastAsia="Calibri" w:hAnsi="Times New Roman" w:cs="Times New Roman"/>
                <w:sz w:val="20"/>
                <w:szCs w:val="20"/>
              </w:rPr>
              <w:t xml:space="preserve"> acoperirea tuturor domeniilor SETRE pentru care au încheiat contractele. </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Acestea iau măsurile necesare pentru a se asigura că, în cazul în care un furnizor SETRE nu este în măsură să menţină acoperirea unui domeniu SETRE </w:t>
            </w:r>
            <w:r w:rsidRPr="009B18D9">
              <w:rPr>
                <w:rFonts w:ascii="Times New Roman" w:eastAsia="Calibri" w:hAnsi="Times New Roman" w:cs="Times New Roman"/>
                <w:bCs/>
                <w:iCs/>
                <w:sz w:val="20"/>
                <w:szCs w:val="20"/>
              </w:rPr>
              <w:t>deoarece entitatea care percepe taxele rutiere nu respectă prezenta directivă</w:t>
            </w:r>
            <w:r w:rsidRPr="009B18D9">
              <w:rPr>
                <w:rFonts w:ascii="Times New Roman" w:eastAsia="Calibri" w:hAnsi="Times New Roman" w:cs="Times New Roman"/>
                <w:sz w:val="20"/>
                <w:szCs w:val="20"/>
              </w:rPr>
              <w:t>, acesta restabileşte acoperirea domeniului în cauză cât mai curând posibil.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F54421" w:rsidP="00D87DEC">
            <w:pPr>
              <w:widowControl w:val="0"/>
              <w:spacing w:after="0" w:line="240" w:lineRule="auto"/>
              <w:jc w:val="both"/>
              <w:rPr>
                <w:rFonts w:ascii="Times New Roman" w:eastAsia="Calibri" w:hAnsi="Times New Roman" w:cs="Times New Roman"/>
                <w:sz w:val="20"/>
                <w:szCs w:val="20"/>
              </w:rPr>
            </w:pPr>
            <w:r w:rsidRPr="00F54421">
              <w:rPr>
                <w:rFonts w:ascii="Times New Roman" w:eastAsia="Calibri" w:hAnsi="Times New Roman" w:cs="Times New Roman"/>
                <w:sz w:val="20"/>
                <w:szCs w:val="20"/>
              </w:rPr>
              <w:t>să restabilească, cât mai curând posibil, acoperirea domeniului în cauză în cazul în care nu sunt în măsură să mențină acoperirea unui domeniu SETRE întrucât entitatea care percepe tariful rutier nu respectă obligațiile stabilite prin prezenta ordonanță</w:t>
            </w:r>
            <w:r w:rsidR="00B36E4F" w:rsidRPr="009B18D9">
              <w:rPr>
                <w:rFonts w:ascii="Times New Roman" w:eastAsia="Calibri"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Statele membre iau măsurile necesare pentru a se asigura că furnizorii SETRE pe care i-au înregistrat publică informaţii privind acoperirea domeniilor SETRE pe care o oferă şi orice modificare a acesteia, precum şi, în termen de o lună de la înregistrare, planuri detaliate privind orice extindere a serviciului lor la alte domenii SETRE, cu actualizări anuale.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e)</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să publice informaţii privind acoperirea domeniilor SETRE pe care o oferă şi orice modificare a acesteia, precum şi, în termen de o lună de la înregistrare, planuri detaliate privind orice extindere a serviciului lor la alte domenii SETRE, cu actualizări anuale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Statele membre iau măsurile necesare pentru a se asigura că, în cazul în care este necesar, furnizorii SETRE pe care i-au înregistrat sau care oferă SETRE pe teritoriul lor le furnizează utilizatorilor SETRE OBE care îndeplinesc cerinţele stabilite în prezenta directivă, precum şi în Directivele </w:t>
            </w:r>
            <w:hyperlink r:id="rId10">
              <w:r w:rsidRPr="009B18D9">
                <w:rPr>
                  <w:rFonts w:ascii="Times New Roman" w:eastAsia="Calibri" w:hAnsi="Times New Roman" w:cs="Times New Roman"/>
                  <w:sz w:val="20"/>
                  <w:szCs w:val="20"/>
                </w:rPr>
                <w:t>2014/53/UE</w:t>
              </w:r>
            </w:hyperlink>
            <w:r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vertAlign w:val="superscript"/>
              </w:rPr>
              <w:t>13</w:t>
            </w:r>
            <w:r w:rsidRPr="009B18D9">
              <w:rPr>
                <w:rFonts w:ascii="Times New Roman" w:eastAsia="Calibri" w:hAnsi="Times New Roman" w:cs="Times New Roman"/>
                <w:sz w:val="20"/>
                <w:szCs w:val="20"/>
              </w:rPr>
              <w:t xml:space="preserve">) şi </w:t>
            </w:r>
            <w:hyperlink r:id="rId11">
              <w:r w:rsidRPr="009B18D9">
                <w:rPr>
                  <w:rFonts w:ascii="Times New Roman" w:eastAsia="Calibri" w:hAnsi="Times New Roman" w:cs="Times New Roman"/>
                  <w:sz w:val="20"/>
                  <w:szCs w:val="20"/>
                </w:rPr>
                <w:t>2014/30/UE</w:t>
              </w:r>
            </w:hyperlink>
            <w:r w:rsidRPr="009B18D9">
              <w:rPr>
                <w:rFonts w:ascii="Times New Roman" w:eastAsia="Calibri" w:hAnsi="Times New Roman" w:cs="Times New Roman"/>
                <w:sz w:val="20"/>
                <w:szCs w:val="20"/>
              </w:rPr>
              <w:t xml:space="preserve"> (</w:t>
            </w:r>
            <w:r w:rsidRPr="009B18D9">
              <w:rPr>
                <w:rFonts w:ascii="Times New Roman" w:eastAsia="Calibri" w:hAnsi="Times New Roman" w:cs="Times New Roman"/>
                <w:sz w:val="20"/>
                <w:szCs w:val="20"/>
                <w:vertAlign w:val="superscript"/>
              </w:rPr>
              <w:t>14</w:t>
            </w:r>
            <w:r w:rsidRPr="009B18D9">
              <w:rPr>
                <w:rFonts w:ascii="Times New Roman" w:eastAsia="Calibri" w:hAnsi="Times New Roman" w:cs="Times New Roman"/>
                <w:sz w:val="20"/>
                <w:szCs w:val="20"/>
              </w:rPr>
              <w:t>) ale Parlamentului European şi ale Consiliului. Acestea pot solicita furnizorilor SETRE în cauză dovezi care să ateste faptul că respectivele cerinţe sunt îndeplinite.</w:t>
            </w:r>
          </w:p>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vertAlign w:val="superscript"/>
              </w:rPr>
              <w:t>13</w:t>
            </w:r>
            <w:r w:rsidRPr="009B18D9">
              <w:rPr>
                <w:rFonts w:ascii="Times New Roman" w:eastAsia="Calibri" w:hAnsi="Times New Roman" w:cs="Times New Roman"/>
                <w:sz w:val="20"/>
                <w:szCs w:val="20"/>
              </w:rPr>
              <w:t xml:space="preserve">)Directiva </w:t>
            </w:r>
            <w:hyperlink r:id="rId12">
              <w:r w:rsidRPr="009B18D9">
                <w:rPr>
                  <w:rFonts w:ascii="Times New Roman" w:eastAsia="Calibri" w:hAnsi="Times New Roman" w:cs="Times New Roman"/>
                  <w:sz w:val="20"/>
                  <w:szCs w:val="20"/>
                </w:rPr>
                <w:t>2014/53/UE</w:t>
              </w:r>
            </w:hyperlink>
            <w:r w:rsidRPr="009B18D9">
              <w:rPr>
                <w:rFonts w:ascii="Times New Roman" w:eastAsia="Calibri" w:hAnsi="Times New Roman" w:cs="Times New Roman"/>
                <w:sz w:val="20"/>
                <w:szCs w:val="20"/>
              </w:rPr>
              <w:t xml:space="preserve"> a Parlamentului European şi a Consiliului din 16 aprilie 2014 privind armonizarea legislaţiei statelor membre referitoare la punerea la dispoziţie pe piaţă a echipamentelor radio şi de abrogare a Directivei </w:t>
            </w:r>
            <w:hyperlink r:id="rId13">
              <w:r w:rsidRPr="009B18D9">
                <w:rPr>
                  <w:rFonts w:ascii="Times New Roman" w:eastAsia="Calibri" w:hAnsi="Times New Roman" w:cs="Times New Roman"/>
                  <w:sz w:val="20"/>
                  <w:szCs w:val="20"/>
                </w:rPr>
                <w:t>1999/5/CE</w:t>
              </w:r>
            </w:hyperlink>
            <w:r w:rsidRPr="009B18D9">
              <w:rPr>
                <w:rFonts w:ascii="Times New Roman" w:eastAsia="Calibri" w:hAnsi="Times New Roman" w:cs="Times New Roman"/>
                <w:sz w:val="20"/>
                <w:szCs w:val="20"/>
              </w:rPr>
              <w:t xml:space="preserve"> (JO L 153, 22.5.2014, p. 62).</w:t>
            </w:r>
          </w:p>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w:t>
            </w:r>
            <w:r w:rsidRPr="009B18D9">
              <w:rPr>
                <w:rFonts w:ascii="Times New Roman" w:eastAsia="Calibri" w:hAnsi="Times New Roman" w:cs="Times New Roman"/>
                <w:sz w:val="20"/>
                <w:szCs w:val="20"/>
                <w:vertAlign w:val="superscript"/>
              </w:rPr>
              <w:t>14</w:t>
            </w:r>
            <w:r w:rsidRPr="009B18D9">
              <w:rPr>
                <w:rFonts w:ascii="Times New Roman" w:eastAsia="Calibri" w:hAnsi="Times New Roman" w:cs="Times New Roman"/>
                <w:sz w:val="20"/>
                <w:szCs w:val="20"/>
              </w:rPr>
              <w:t xml:space="preserve">)Directiva </w:t>
            </w:r>
            <w:hyperlink r:id="rId14">
              <w:r w:rsidRPr="009B18D9">
                <w:rPr>
                  <w:rFonts w:ascii="Times New Roman" w:eastAsia="Calibri" w:hAnsi="Times New Roman" w:cs="Times New Roman"/>
                  <w:sz w:val="20"/>
                  <w:szCs w:val="20"/>
                </w:rPr>
                <w:t>2014/30/UE</w:t>
              </w:r>
            </w:hyperlink>
            <w:r w:rsidRPr="009B18D9">
              <w:rPr>
                <w:rFonts w:ascii="Times New Roman" w:eastAsia="Calibri" w:hAnsi="Times New Roman" w:cs="Times New Roman"/>
                <w:sz w:val="20"/>
                <w:szCs w:val="20"/>
              </w:rPr>
              <w:t xml:space="preserve"> a Parlamentului European şi a Consiliului din 26 februarie 2014 privind armonizarea legislaţiilor statelor membre cu privire la compatibilitatea electromagnetică (JO L 96, 29.3.2014, p. 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f)</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să furnizeze utilizatorilor SETRE OBE care îndeplinesc cerinţele stabilite în prezenta ordonanță, precum şi în Hotărârea Guvernului nr. 740/2016 privind punerea la dispoziţie pe piaţă a echipamentelor radio, cu modificările și completările ulterioare, și Hotărârea Guvernului nr. 487/2016 privind compatibilitatea electromagnetică, cu modificările și completările ulterioare, și să ateste faptul că respectivele cerinţe sunt îndeplinite prezentând dovezi în acest sens, la solicitarea autorităților competente din România;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4B1E" w:rsidRPr="009B18D9" w:rsidRDefault="00E54B1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Statele membre iau măsurile necesare pentru a se asigura că furnizorii SETRE care oferă SETRE pe teritoriul lor păstrează liste cu OBE nevalidate legate de contractele lor SETRE cu utilizatorii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g)</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păstreze liste cu OBE nevalidate legate de contractele lor SETRE cu utilizatorii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Acestea iau măsurile necesare pentru a se asigura că astfel de liste sunt menţinute în strictă conformitate cu normele Uniunii privind protecţia datelor cu caracter personal, astfel cum este prevăzut, printre altele, în Regulamentul (UE) </w:t>
            </w:r>
            <w:hyperlink r:id="rId15">
              <w:r w:rsidRPr="009B18D9">
                <w:rPr>
                  <w:rFonts w:ascii="Times New Roman" w:hAnsi="Times New Roman" w:cs="Times New Roman"/>
                  <w:sz w:val="20"/>
                  <w:szCs w:val="20"/>
                </w:rPr>
                <w:t>2016/679</w:t>
              </w:r>
            </w:hyperlink>
            <w:r w:rsidRPr="009B18D9">
              <w:rPr>
                <w:rFonts w:ascii="Times New Roman" w:hAnsi="Times New Roman" w:cs="Times New Roman"/>
                <w:sz w:val="20"/>
                <w:szCs w:val="20"/>
              </w:rPr>
              <w:t xml:space="preserve"> şi în Directiva </w:t>
            </w:r>
            <w:hyperlink r:id="rId16">
              <w:r w:rsidRPr="009B18D9">
                <w:rPr>
                  <w:rFonts w:ascii="Times New Roman" w:hAnsi="Times New Roman" w:cs="Times New Roman"/>
                  <w:sz w:val="20"/>
                  <w:szCs w:val="20"/>
                </w:rPr>
                <w:t>2002/58/CE</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bookmarkStart w:id="4" w:name="_Hlk72827509"/>
            <w:r w:rsidRPr="009B18D9">
              <w:rPr>
                <w:rFonts w:ascii="Times New Roman"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furnizorii SETRE pe care i-au înregistrat fac publică politica lor de contractare faţă de utilizatorii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h)</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să </w:t>
            </w:r>
            <w:r w:rsidR="00243310" w:rsidRPr="009B18D9">
              <w:rPr>
                <w:rFonts w:ascii="Times New Roman" w:hAnsi="Times New Roman" w:cs="Times New Roman"/>
                <w:sz w:val="20"/>
                <w:szCs w:val="20"/>
              </w:rPr>
              <w:t>fac</w:t>
            </w:r>
            <w:r w:rsidRPr="009B18D9">
              <w:rPr>
                <w:rFonts w:ascii="Times New Roman" w:hAnsi="Times New Roman" w:cs="Times New Roman"/>
                <w:sz w:val="20"/>
                <w:szCs w:val="20"/>
              </w:rPr>
              <w:t>ă</w:t>
            </w:r>
            <w:r w:rsidR="00243310" w:rsidRPr="009B18D9">
              <w:rPr>
                <w:rFonts w:ascii="Times New Roman" w:hAnsi="Times New Roman" w:cs="Times New Roman"/>
                <w:sz w:val="20"/>
                <w:szCs w:val="20"/>
              </w:rPr>
              <w:t xml:space="preserve"> publică politica lor de contractare faţă de utilizatorii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center"/>
              <w:rPr>
                <w:rFonts w:ascii="Times New Roman" w:eastAsia="Calibri" w:hAnsi="Times New Roman" w:cs="Times New Roman"/>
                <w:sz w:val="20"/>
                <w:szCs w:val="20"/>
              </w:rPr>
            </w:pPr>
          </w:p>
        </w:tc>
      </w:tr>
      <w:bookmarkEnd w:id="4"/>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furnizorii SETRE care oferă SETRE pe teritoriul lor furnizează entităţilor care percep taxele rutiere informaţiile de care au nevoie pentru a calcula şi a aplica taxa rutieră pentru vehiculele utilizatorilor SETRE sau furnizează entităţilor care percep taxele rutiere toate informaţiile necesare pentru a le permite să verifice calculul taxei rutiere aplicate vehiculelor utilizatorilor SETRE de către furnizorii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F54421" w:rsidP="00D87DEC">
            <w:pPr>
              <w:widowControl w:val="0"/>
              <w:spacing w:after="0" w:line="240" w:lineRule="auto"/>
              <w:jc w:val="both"/>
              <w:rPr>
                <w:rFonts w:ascii="Times New Roman" w:hAnsi="Times New Roman" w:cs="Times New Roman"/>
                <w:sz w:val="20"/>
                <w:szCs w:val="20"/>
              </w:rPr>
            </w:pPr>
            <w:r w:rsidRPr="00F54421">
              <w:rPr>
                <w:rFonts w:ascii="Times New Roman" w:hAnsi="Times New Roman" w:cs="Times New Roman"/>
                <w:sz w:val="20"/>
                <w:szCs w:val="20"/>
              </w:rPr>
              <w:t>să furnizeze entităţilor care percep tarifele rutiere informaţiile de care acestea au nevoie pentru a calcula şi a aplica aceste tarife pentru vehiculele utilizatorilor SETRE sau toate informaţiile necesare pentru a permite respectivelor entități să verifice calculul tarifului rutier pe care furnizorul l-a aplicat vehiculelor utilizatorilor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3FEE" w:rsidRPr="009B18D9" w:rsidRDefault="00543FEE" w:rsidP="00D87DEC">
            <w:pPr>
              <w:widowControl w:val="0"/>
              <w:spacing w:after="0" w:line="240" w:lineRule="auto"/>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Statele membre iau măsurile necesare pentru a se asigura că furnizorii SETRE care oferă SETRE pe teritoriul lor cooperează cu entităţile care percep taxele rutiere în eforturile lor de identificare a persoanelor suspectate de contravenţii.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j)</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coopereze cu entităţile care percep tarifele rutiere pentru identificarea persoanelor suspectate de neplata tarifului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3FEE" w:rsidRPr="009B18D9" w:rsidRDefault="00543FEE"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în cazul în care se suspectează neplata unei taxe rutiere, entitatea care percepe taxele rutiere poate obţine de la furnizorul SETRE datele referitoare la vehiculul implicat în presupusa neplată a unei taxe rutiere şi la proprietarul sau deţinătorul respectivului vehicul care este un client al furnizorului SETRE. Astfel de date sunt puse la dispoziţie imediat de către furnizorul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k)</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B36E4F"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se suspectează neplata unui tarif rutier, la solicitarea entității care îl percepe, să furnizeze acesteia, datele referitoare la vehiculul implicat în presupusa neplată şi la deţinătorul respectivului vehicul care este un client al său;</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4D6D" w:rsidRPr="009B18D9" w:rsidRDefault="00B04D6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entitatea care percepe taxele rutiere nu divulgă astfel de date niciunui alt furnizor de servicii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310" w:rsidRPr="009B18D9" w:rsidRDefault="00860E6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6 lit. m)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Acestea iau măsurile necesare pentru a se asigura că, în cazul în care entitatea care percepe taxele rutiere este integrată cu un furnizor de servicii de taxare rutieră într-o singură entitate, datele sunt folosite exclusiv în scopul identificării persoanelor suspectate de contravenţii sau în conformitate cu articolul 27 alineatul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243310"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43310" w:rsidRPr="009B18D9" w:rsidRDefault="00860E6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6 lit. n)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lastRenderedPageBreak/>
              <w:t>(9)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Statele membre iau măsurile necesare pentru a se asigura că o entitate care percepe taxele rutiere responsabilă de un domeniu SETRE pe teritoriul lor poate obţine de la un furnizor SETRE date referitoare la toate vehiculele aflate în proprietatea clienţilor furnizorului SETRE sau deţinute de aceştia, care, într-o anumită perioadă de timp, au fost conduse pe domeniul SETRE pentru care este responsabilă entitatea care percepe taxele rutiere, precum şi date referitoare la proprietarii sau deţinătorii vehiculelor respective, cu condiţia ca entitatea care percepe taxele rutiere să aibă nevoie de aceste date pentru a-şi respecta obligaţiile faţă de autorităţile fiscale. </w:t>
            </w:r>
          </w:p>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furnizorul SETRE oferă datele solicitate în termen de cel mult două zile de la primirea cererii.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l)</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furnizeze, în cel mult două zile de la primirea solicitării entității care percepe tariful rutier pe un domeniu SETRE de pe teritoriul României date referitoare la toate vehiculele clienţilor înregistrați, care, într-o anumită perioadă de timp, au fost folosite pe acest domeniul SETRE, precum şi date referitoare la aceștia;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m)</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A95D55" w:rsidP="00D87DEC">
            <w:pPr>
              <w:widowControl w:val="0"/>
              <w:spacing w:after="0" w:line="240" w:lineRule="auto"/>
              <w:jc w:val="both"/>
              <w:rPr>
                <w:rFonts w:ascii="Times New Roman" w:hAnsi="Times New Roman" w:cs="Times New Roman"/>
                <w:sz w:val="20"/>
                <w:szCs w:val="20"/>
              </w:rPr>
            </w:pPr>
            <w:r w:rsidRPr="00A95D55">
              <w:rPr>
                <w:rFonts w:ascii="Times New Roman" w:hAnsi="Times New Roman" w:cs="Times New Roman"/>
                <w:sz w:val="20"/>
                <w:szCs w:val="20"/>
              </w:rPr>
              <w:t>să respecte obligațiile care îi revin în conformitate cu prevederile Regulamentului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și ale Regulamentului delegat (UE) nr. 204/2020 al Comisiei din 28 noiembrie 2019 privind 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p>
        </w:tc>
        <w:tc>
          <w:tcPr>
            <w:tcW w:w="290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n)</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eastAsia="Calibri" w:hAnsi="Times New Roman" w:cs="Times New Roman"/>
                <w:iCs/>
                <w:sz w:val="20"/>
                <w:szCs w:val="20"/>
              </w:rPr>
              <w:t>să asigure o evidență contabilă distinctă între costurile şi veniturile legate de furnizarea serviciilor de tarifare rutieră şi costurile şi veniturile aferente altor activităţi;</w:t>
            </w:r>
          </w:p>
        </w:tc>
        <w:tc>
          <w:tcPr>
            <w:tcW w:w="2909" w:type="dxa"/>
            <w:vMerge w:val="restart"/>
            <w:tcBorders>
              <w:left w:val="single" w:sz="4" w:space="0" w:color="000000"/>
              <w:right w:val="single" w:sz="4" w:space="0" w:color="000000"/>
            </w:tcBorders>
            <w:shd w:val="clear" w:color="auto" w:fill="FFFFFF" w:themeFill="background1"/>
          </w:tcPr>
          <w:p w:rsidR="00BE32B7" w:rsidRPr="009B18D9" w:rsidRDefault="00BE32B7" w:rsidP="00D87DEC">
            <w:pPr>
              <w:spacing w:after="0"/>
              <w:jc w:val="center"/>
            </w:pPr>
            <w:r w:rsidRPr="009B18D9">
              <w:rPr>
                <w:rFonts w:ascii="Times New Roman" w:eastAsia="Calibri" w:hAnsi="Times New Roman" w:cs="Times New Roman"/>
                <w:sz w:val="20"/>
                <w:szCs w:val="20"/>
              </w:rPr>
              <w:t>Transpune art. 9 din Directiva</w:t>
            </w:r>
          </w:p>
          <w:p w:rsidR="00BE32B7" w:rsidRPr="009B18D9" w:rsidRDefault="00BE32B7" w:rsidP="00D87DEC">
            <w:pPr>
              <w:spacing w:after="0"/>
              <w:jc w:val="cente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o)</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să transmită, la cererea organismului de conciliere sau a organismului judiciar competent, informaţiile privind costurile şi veniturile legate de furnizarea de servicii de tarifare rutieră;</w:t>
            </w:r>
          </w:p>
        </w:tc>
        <w:tc>
          <w:tcPr>
            <w:tcW w:w="2909" w:type="dxa"/>
            <w:vMerge/>
            <w:tcBorders>
              <w:left w:val="single" w:sz="4" w:space="0" w:color="000000"/>
              <w:right w:val="single" w:sz="4" w:space="0" w:color="000000"/>
            </w:tcBorders>
            <w:shd w:val="clear" w:color="auto" w:fill="FFFFFF" w:themeFill="background1"/>
          </w:tcPr>
          <w:p w:rsidR="00BE32B7" w:rsidRPr="009B18D9" w:rsidRDefault="00BE32B7" w:rsidP="00D87DEC">
            <w:pPr>
              <w:spacing w:after="0"/>
              <w:jc w:val="cente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p)</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eastAsia="Calibri" w:hAnsi="Times New Roman" w:cs="Times New Roman"/>
                <w:iCs/>
                <w:sz w:val="20"/>
                <w:szCs w:val="20"/>
              </w:rPr>
              <w:t>să nu efectueze subvenţii încrucişate între activităţile efectuate în calitate de furnizor de servicii de tarifare rutieră şi alte activităţi;</w:t>
            </w:r>
          </w:p>
        </w:tc>
        <w:tc>
          <w:tcPr>
            <w:tcW w:w="2909" w:type="dxa"/>
            <w:vMerge/>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spacing w:after="0"/>
              <w:jc w:val="cente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q)</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sz w:val="20"/>
                <w:szCs w:val="20"/>
              </w:rPr>
              <w:t xml:space="preserve">la semnarea unui contract, să informeze potențialii utilizatori SETRE cu privire la metodele de plată acceptate şi cu privire la prelucrarea datelor lor cu caracter personal, la drepturile care decurg din legislaţia aplicabilă privind protecţia datelor cu caracter personal, în </w:t>
            </w:r>
            <w:r w:rsidRPr="009B18D9">
              <w:rPr>
                <w:rFonts w:ascii="Times New Roman" w:eastAsia="Calibri" w:hAnsi="Times New Roman" w:cs="Times New Roman"/>
                <w:sz w:val="20"/>
                <w:szCs w:val="20"/>
              </w:rPr>
              <w:lastRenderedPageBreak/>
              <w:t>conformitate cu Regulamentul (UE) 2016/679;</w:t>
            </w:r>
          </w:p>
        </w:tc>
        <w:tc>
          <w:tcPr>
            <w:tcW w:w="290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6F5E8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Transpune art. 10</w:t>
            </w:r>
            <w:r w:rsidR="00B35366" w:rsidRPr="009B18D9">
              <w:rPr>
                <w:rFonts w:ascii="Times New Roman" w:eastAsia="Calibri" w:hAnsi="Times New Roman" w:cs="Times New Roman"/>
                <w:sz w:val="20"/>
                <w:szCs w:val="20"/>
              </w:rPr>
              <w:t xml:space="preserve"> alin. (1) par. 2</w:t>
            </w:r>
            <w:r w:rsidRPr="009B18D9">
              <w:rPr>
                <w:rFonts w:ascii="Times New Roman" w:eastAsia="Calibri" w:hAnsi="Times New Roman" w:cs="Times New Roman"/>
                <w:sz w:val="20"/>
                <w:szCs w:val="20"/>
              </w:rPr>
              <w:t xml:space="preserve"> din Directiva </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r)</w:t>
            </w:r>
          </w:p>
        </w:tc>
        <w:tc>
          <w:tcPr>
            <w:tcW w:w="481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să prezinte, la cererea autorităţii naționale din statul membru al Uniunii Europene pe al cărui domeniu oferă SETRE, responsabilă pentru politicile legate de trafic şi pentru îmbunătăţirea gestionării traficului, date privind traficul generat pe acesta. Datele furnizate nu trebuie să permită identificarea clienților.</w:t>
            </w:r>
          </w:p>
        </w:tc>
        <w:tc>
          <w:tcPr>
            <w:tcW w:w="290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B35366"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 xml:space="preserve">Transpune art. 14 alin. (2) din Directiva </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366" w:rsidRPr="009B18D9" w:rsidRDefault="00B35366"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366" w:rsidRPr="009B18D9" w:rsidRDefault="00B3536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Acestea iau măsurile necesare pentru a se asigura că entitatea care percepe taxele rutiere nu divulgă astfel de date niciunui alt furnizor de servicii de taxare rutieră.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5366" w:rsidRPr="009B18D9" w:rsidRDefault="00B35366" w:rsidP="00D87DEC">
            <w:pPr>
              <w:widowControl w:val="0"/>
              <w:spacing w:after="0" w:line="240" w:lineRule="auto"/>
              <w:jc w:val="right"/>
              <w:rPr>
                <w:rFonts w:ascii="Times New Roman" w:hAnsi="Times New Roman" w:cs="Times New Roman"/>
                <w:sz w:val="20"/>
                <w:szCs w:val="20"/>
              </w:rPr>
            </w:pPr>
          </w:p>
        </w:tc>
        <w:tc>
          <w:tcPr>
            <w:tcW w:w="4819" w:type="dxa"/>
            <w:tcBorders>
              <w:left w:val="single" w:sz="4" w:space="0" w:color="000000"/>
              <w:bottom w:val="single" w:sz="4" w:space="0" w:color="000000"/>
              <w:right w:val="single" w:sz="4" w:space="0" w:color="000000"/>
            </w:tcBorders>
            <w:shd w:val="clear" w:color="auto" w:fill="FFFFFF" w:themeFill="background1"/>
          </w:tcPr>
          <w:p w:rsidR="00B35366" w:rsidRPr="009B18D9" w:rsidRDefault="00B35366"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left w:val="single" w:sz="4" w:space="0" w:color="000000"/>
              <w:bottom w:val="single" w:sz="4" w:space="0" w:color="000000"/>
              <w:right w:val="single" w:sz="4" w:space="0" w:color="000000"/>
            </w:tcBorders>
            <w:shd w:val="clear" w:color="auto" w:fill="FFFFFF" w:themeFill="background1"/>
          </w:tcPr>
          <w:p w:rsidR="00B35366" w:rsidRPr="009B18D9" w:rsidRDefault="00B3536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6 lit. m)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EEB" w:rsidRPr="009B18D9" w:rsidRDefault="00B94EEB"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EEB" w:rsidRPr="009B18D9" w:rsidRDefault="00B94EEB"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Acestea iau măsurile necesare pentru a se asigura că, în cazul în care entitatea care percepe taxele rutiere este integrată cu un furnizor de servicii de taxare rutieră într-o singură entitate, datele sunt folosite exclusiv în scopul respectării de către entitatea care percepe taxele rutiere a obligaţiilor faţă de autorităţile fiscale.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EEB" w:rsidRPr="009B18D9" w:rsidRDefault="00B94EEB" w:rsidP="00D87DEC">
            <w:pPr>
              <w:widowControl w:val="0"/>
              <w:spacing w:after="0" w:line="240" w:lineRule="auto"/>
              <w:jc w:val="right"/>
              <w:rPr>
                <w:rFonts w:ascii="Times New Roman" w:hAnsi="Times New Roman" w:cs="Times New Roman"/>
                <w:sz w:val="20"/>
                <w:szCs w:val="20"/>
              </w:rPr>
            </w:pPr>
          </w:p>
        </w:tc>
        <w:tc>
          <w:tcPr>
            <w:tcW w:w="4819" w:type="dxa"/>
            <w:tcBorders>
              <w:left w:val="single" w:sz="4" w:space="0" w:color="000000"/>
              <w:bottom w:val="single" w:sz="4" w:space="0" w:color="000000"/>
              <w:right w:val="single" w:sz="4" w:space="0" w:color="000000"/>
            </w:tcBorders>
            <w:shd w:val="clear" w:color="auto" w:fill="FFFFFF" w:themeFill="background1"/>
          </w:tcPr>
          <w:p w:rsidR="00B94EEB" w:rsidRPr="009B18D9" w:rsidRDefault="00B94EEB"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left w:val="single" w:sz="4" w:space="0" w:color="000000"/>
              <w:bottom w:val="single" w:sz="4" w:space="0" w:color="000000"/>
              <w:right w:val="single" w:sz="4" w:space="0" w:color="000000"/>
            </w:tcBorders>
            <w:shd w:val="clear" w:color="auto" w:fill="FFFFFF" w:themeFill="background1"/>
          </w:tcPr>
          <w:p w:rsidR="00B94EEB" w:rsidRPr="009B18D9" w:rsidRDefault="00B94EE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6 lit. n)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Datele furnizate de furnizorii SETRE entităţilor care percep taxele rutiere sunt prelucrate în conformitate cu normele Uniunii privind protecţia datelor cu caracter personal, astfel cum se prevede în Regulamentul (UE) </w:t>
            </w:r>
            <w:hyperlink r:id="rId17">
              <w:r w:rsidRPr="009B18D9">
                <w:rPr>
                  <w:rFonts w:ascii="Times New Roman" w:hAnsi="Times New Roman" w:cs="Times New Roman"/>
                  <w:sz w:val="20"/>
                  <w:szCs w:val="20"/>
                </w:rPr>
                <w:t>2016/679</w:t>
              </w:r>
            </w:hyperlink>
            <w:r w:rsidRPr="009B18D9">
              <w:rPr>
                <w:rFonts w:ascii="Times New Roman" w:hAnsi="Times New Roman" w:cs="Times New Roman"/>
                <w:sz w:val="20"/>
                <w:szCs w:val="20"/>
              </w:rPr>
              <w:t xml:space="preserve">, precum şi în actele cu putere de lege şi actele administrative din dreptul intern de transpunere a Directivelor </w:t>
            </w:r>
            <w:hyperlink r:id="rId18">
              <w:r w:rsidRPr="009B18D9">
                <w:rPr>
                  <w:rFonts w:ascii="Times New Roman" w:hAnsi="Times New Roman" w:cs="Times New Roman"/>
                  <w:sz w:val="20"/>
                  <w:szCs w:val="20"/>
                </w:rPr>
                <w:t>2002/58/CE</w:t>
              </w:r>
            </w:hyperlink>
            <w:r w:rsidRPr="009B18D9">
              <w:rPr>
                <w:rFonts w:ascii="Times New Roman" w:hAnsi="Times New Roman" w:cs="Times New Roman"/>
                <w:sz w:val="20"/>
                <w:szCs w:val="20"/>
              </w:rPr>
              <w:t xml:space="preserve"> şi (UE) </w:t>
            </w:r>
            <w:hyperlink r:id="rId19">
              <w:r w:rsidRPr="009B18D9">
                <w:rPr>
                  <w:rFonts w:ascii="Times New Roman" w:hAnsi="Times New Roman" w:cs="Times New Roman"/>
                  <w:sz w:val="20"/>
                  <w:szCs w:val="20"/>
                </w:rPr>
                <w:t>2016/680</w:t>
              </w:r>
            </w:hyperlink>
            <w:r w:rsidRPr="009B18D9">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sz w:val="20"/>
                <w:szCs w:val="20"/>
              </w:rPr>
              <w:t>Transpus prin art 22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Comisia adoptă acte de punere în aplicare, până la 19 octombrie 2019, pentru a defini mai precis obligaţiile furnizorilor SETRE în ceea ce priveşte: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monitorizarea performanţelor nivelului lor de servicii, precum şi cooperarea cu entităţile care percep taxele rutiere în cadrul auditurilor de verificare;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cooperarea cu entităţile care percep taxele rutiere la efectuarea testelor vizând sistemele entităţilor care percep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serviciile şi asistenţa tehnică adresate utilizatorilor SETRE şi personalizarea OBE;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facturarea utilizatorilor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informaţiile pe care furnizorii SETRE trebuie să le furnizeze entităţilor care percep taxele rutiere şi care sunt menţionate la alineatul (7);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f)</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informarea utilizatorului SETRE cu privire la o situaţie detectată de nedeclarare a unei taxe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01C6" w:rsidRPr="009B18D9" w:rsidRDefault="00DD01C6" w:rsidP="00D87DEC">
            <w:pPr>
              <w:spacing w:after="0"/>
              <w:jc w:val="cente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Respectivele acte de punere în aplicare se adoptă în conformitate cu procedura de examinare menţionată la articolul 31 alineatul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DD01C6" w:rsidP="00D87DEC">
            <w:pPr>
              <w:widowControl w:val="0"/>
              <w:spacing w:after="0" w:line="240" w:lineRule="auto"/>
              <w:jc w:val="center"/>
              <w:rPr>
                <w:rFonts w:ascii="Times New Roman" w:hAnsi="Times New Roman" w:cs="Times New Roman"/>
                <w:sz w:val="20"/>
                <w:szCs w:val="20"/>
              </w:rPr>
            </w:pPr>
            <w:r w:rsidRPr="009B18D9">
              <w:rPr>
                <w:rFonts w:ascii="Times New Roman"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C0C0C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C0C0C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Art. 5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37BD2"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 xml:space="preserve">Prevederile art. 5 alin (1) lit. a) - f), lit. h), lit. m), lit. n), lit. p) și lit. q) se aplică și furnizorilor SETRE înregistrați </w:t>
            </w:r>
            <w:r w:rsidRPr="009B18D9">
              <w:rPr>
                <w:rFonts w:ascii="Times New Roman" w:hAnsi="Times New Roman" w:cs="Times New Roman"/>
                <w:sz w:val="20"/>
                <w:szCs w:val="20"/>
              </w:rPr>
              <w:lastRenderedPageBreak/>
              <w:t>în România, care oferă SETRE numai pe domenii din alte state membre ale Uniunii Europene.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37BD2" w:rsidP="00D87DEC">
            <w:pPr>
              <w:widowControl w:val="0"/>
              <w:spacing w:after="0" w:line="240" w:lineRule="auto"/>
              <w:jc w:val="center"/>
              <w:rPr>
                <w:rFonts w:ascii="Times New Roman" w:eastAsia="Calibri" w:hAnsi="Times New Roman" w:cs="Times New Roman"/>
                <w:sz w:val="20"/>
                <w:szCs w:val="20"/>
                <w:shd w:val="clear" w:color="auto" w:fill="C0C0C0"/>
              </w:rPr>
            </w:pPr>
            <w:r w:rsidRPr="009B18D9">
              <w:rPr>
                <w:rFonts w:ascii="Times New Roman" w:eastAsia="Calibri" w:hAnsi="Times New Roman" w:cs="Times New Roman"/>
                <w:bCs/>
                <w:iCs/>
                <w:sz w:val="20"/>
                <w:szCs w:val="20"/>
              </w:rPr>
              <w:lastRenderedPageBreak/>
              <w:t>Prevedere suplimentară faţă de Directivă</w:t>
            </w:r>
          </w:p>
        </w:tc>
      </w:tr>
      <w:tr w:rsidR="009B18D9" w:rsidRPr="009B18D9" w:rsidTr="008E68B2">
        <w:trPr>
          <w:gridAfter w:val="1"/>
          <w:wAfter w:w="7" w:type="dxa"/>
          <w:trHeight w:val="743"/>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C0C0C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C0C0C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Art. 5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37BD2"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Prevederile art. 5 alin (1) lit. f), lit. g) și lit. i) - r) se aplică și furnizorilor SETRE înregistrați în alte state membre ale Uniunii Europene decât România, care ofera SETRE pe domenii din România.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37BD2"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Art. 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b/>
                <w:sz w:val="20"/>
                <w:szCs w:val="20"/>
              </w:rPr>
            </w:pPr>
            <w:r w:rsidRPr="009B18D9">
              <w:rPr>
                <w:rFonts w:ascii="Times New Roman" w:hAnsi="Times New Roman" w:cs="Times New Roman"/>
                <w:b/>
                <w:sz w:val="20"/>
                <w:szCs w:val="20"/>
              </w:rPr>
              <w:t>Drepturile şi obligaţiile entităţilor care percep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Art. 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Entităţile din România care percep tarife rutiere au următoarele obligații: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În cazul în care un domeniu SETRE nu corespunde condiţiilor tehnice şi procedurale de interoperabilitate SETRE prevăzute în prezenta directivă, statul membru pe al cărui teritoriu se află domeniul SETRE ia măsurile necesare pentru a se asigura că entitatea responsabilă care percepe taxele rutiere evaluează problema împreună cu părţile interesate vizate şi, dacă acest lucru este inclus în sfera sa de responsabilitate, ia măsuri de remediere pentru a garanta interoperabilitatea cu SETRE a sistemului de taxare rutieră. </w:t>
            </w:r>
            <w:r w:rsidR="00037BD2" w:rsidRPr="009B18D9">
              <w:rPr>
                <w:rFonts w:ascii="Times New Roman" w:hAnsi="Times New Roman" w:cs="Times New Roman"/>
                <w:sz w:val="20"/>
                <w:szCs w:val="20"/>
              </w:rPr>
              <w:t>În cazul în care este necesar, statul membru actualizează registrul menţionat la articolul 21 alineatul (1) cu privire la informaţiile menţionate la litera (a) din respectivul alineat.</w:t>
            </w:r>
          </w:p>
        </w:tc>
        <w:tc>
          <w:tcPr>
            <w:tcW w:w="1134" w:type="dxa"/>
            <w:tcBorders>
              <w:top w:val="single" w:sz="4" w:space="0" w:color="000000"/>
              <w:left w:val="single" w:sz="4" w:space="0" w:color="000000"/>
              <w:right w:val="single" w:sz="4" w:space="0" w:color="000000"/>
            </w:tcBorders>
            <w:shd w:val="clear" w:color="auto" w:fill="FFFFFF" w:themeFill="background1"/>
          </w:tcPr>
          <w:p w:rsidR="00BE32B7" w:rsidRPr="009B18D9" w:rsidRDefault="00D87DEC" w:rsidP="00D87DEC">
            <w:pPr>
              <w:widowControl w:val="0"/>
              <w:tabs>
                <w:tab w:val="center" w:pos="659"/>
                <w:tab w:val="right" w:pos="1319"/>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w:t>
            </w:r>
            <w:r w:rsidRPr="009B18D9">
              <w:rPr>
                <w:rFonts w:ascii="Times New Roman" w:hAnsi="Times New Roman" w:cs="Times New Roman"/>
                <w:sz w:val="20"/>
                <w:szCs w:val="20"/>
              </w:rPr>
              <w:t>)</w:t>
            </w:r>
          </w:p>
        </w:tc>
        <w:tc>
          <w:tcPr>
            <w:tcW w:w="4819"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un domeniu SETRE nu corespunde condiţiilor tehnice şi procedurale de interoperabilitate SETRE prevăzute în prezenta ordonanță, să evalueze problema împreună cu părţile în cauză şi, dacă acest lucru este inclus în sfera sa de responsabilitate, să ia măsuri de remediere pentru a garanta interoperabilitatea cu SETRE a sistemului de tarifare rutieră. În cazul în care este necesar, actualizează informațiile menționate la art. 18 alin. (1) lit. a);</w:t>
            </w:r>
          </w:p>
        </w:tc>
        <w:tc>
          <w:tcPr>
            <w:tcW w:w="2909"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78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Fiecare stat membru ia măsurile necesare pentru a se asigura că orice entitate care percepe taxele rutiere responsabilă de un domeniu SETRE pe teritoriul statului membru respectiv întocmeşte şi menţine o declaraţie privind domeniul SETRE care enunţă condiţiile generale aplicabile furnizorilor SETRE privind accesarea domeniilor lor SETRE, în conformitate cu actele de punere în aplicare menţionate la alineatul (9).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întocmească şi să menţină o declaraţie privind domeniul SETRE pentru care aplică tarife, în care enunţă condiţiile aplicabile furnizorilor SETRE privind accesul la acest domeniu, inclusiv cele procedurale și comerciale, procedura de autorizare și informaţiile privind tariful rutier, în conformitate cu prevederile art. 3 din Regulamentul delegat (UE) nr. 204/2020 al Comisiei din 28 noiembrie 2019 privind 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bookmarkStart w:id="5" w:name="_Hlk62642027"/>
            <w:r w:rsidRPr="009B18D9">
              <w:rPr>
                <w:rFonts w:ascii="Times New Roman" w:hAnsi="Times New Roman" w:cs="Times New Roman"/>
                <w:sz w:val="20"/>
                <w:szCs w:val="20"/>
              </w:rPr>
              <w:t xml:space="preserve">În cazul în care un nou sistem de taxare rutieră electronică este creat pe teritoriul unui stat membru, statul membru respectiv ia măsurile necesare pentru a se asigura că entitatea desemnată pentru a percepe taxele rutiere responsabilă de sistem publică declaraţia privind domeniul SETRE cu suficient timp înainte pentru a permite acreditarea furnizorilor SETRE interesaţi cel târziu cu o lună înainte de lansarea operaţională a noului sistem, ţinând seama de durata procesului de evaluare a conformităţii cu specificaţiile şi a caracterului adecvat pentru utilizare al elementelor constitutive de interoperabilitate menţionate la </w:t>
            </w:r>
            <w:r w:rsidRPr="009B18D9">
              <w:rPr>
                <w:rFonts w:ascii="Times New Roman" w:hAnsi="Times New Roman" w:cs="Times New Roman"/>
                <w:sz w:val="20"/>
                <w:szCs w:val="20"/>
              </w:rPr>
              <w:lastRenderedPageBreak/>
              <w:t>articolul 15 alineatul (1).</w:t>
            </w:r>
            <w:bookmarkEnd w:id="5"/>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lastRenderedPageBreak/>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un nou sistem de tarifare rutieră electronică este creat, să publice declaraţia privind domeniul SETRE cu suficient timp înainte pentru a permite autorizarea furnizorilor SETRE interesaţi, cel târziu cu o lună înainte de lansarea operaţională a noului sistem; Declarația va conține și planificarea detaliată a procesului de evaluare a conformităţii cu specificaţiile şi a caracterului adecvat pentru utilizare al elementelor constitutive de interoperabilitate;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8F3B85"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w:t>
            </w:r>
            <w:r w:rsidR="000023F7" w:rsidRPr="009B18D9">
              <w:rPr>
                <w:rFonts w:ascii="Times New Roman" w:eastAsia="Calibri" w:hAnsi="Times New Roman" w:cs="Times New Roman"/>
                <w:sz w:val="20"/>
                <w:szCs w:val="20"/>
              </w:rPr>
              <w:t xml:space="preserve">si </w:t>
            </w:r>
            <w:r w:rsidRPr="009B18D9">
              <w:rPr>
                <w:rFonts w:ascii="Times New Roman" w:eastAsia="Calibri" w:hAnsi="Times New Roman" w:cs="Times New Roman"/>
                <w:sz w:val="20"/>
                <w:szCs w:val="20"/>
              </w:rPr>
              <w:t>art. 1</w:t>
            </w:r>
            <w:r w:rsidR="000023F7" w:rsidRPr="009B18D9">
              <w:rPr>
                <w:rFonts w:ascii="Times New Roman" w:eastAsia="Calibri" w:hAnsi="Times New Roman" w:cs="Times New Roman"/>
                <w:sz w:val="20"/>
                <w:szCs w:val="20"/>
              </w:rPr>
              <w:t xml:space="preserve">5 </w:t>
            </w:r>
            <w:r w:rsidRPr="009B18D9">
              <w:rPr>
                <w:rFonts w:ascii="Times New Roman" w:eastAsia="Calibri" w:hAnsi="Times New Roman" w:cs="Times New Roman"/>
                <w:sz w:val="20"/>
                <w:szCs w:val="20"/>
              </w:rPr>
              <w:t>alin. (</w:t>
            </w:r>
            <w:r w:rsidR="000023F7" w:rsidRPr="009B18D9">
              <w:rPr>
                <w:rFonts w:ascii="Times New Roman" w:eastAsia="Calibri" w:hAnsi="Times New Roman" w:cs="Times New Roman"/>
                <w:sz w:val="20"/>
                <w:szCs w:val="20"/>
              </w:rPr>
              <w:t>1</w:t>
            </w:r>
            <w:r w:rsidRPr="009B18D9">
              <w:rPr>
                <w:rFonts w:ascii="Times New Roman" w:eastAsia="Calibri" w:hAnsi="Times New Roman" w:cs="Times New Roman"/>
                <w:sz w:val="20"/>
                <w:szCs w:val="20"/>
              </w:rPr>
              <w:t xml:space="preserve">) </w:t>
            </w:r>
            <w:r w:rsidR="000023F7" w:rsidRPr="009B18D9">
              <w:rPr>
                <w:rFonts w:ascii="Times New Roman" w:eastAsia="Calibri" w:hAnsi="Times New Roman" w:cs="Times New Roman"/>
                <w:sz w:val="20"/>
                <w:szCs w:val="20"/>
              </w:rPr>
              <w:t xml:space="preserve">par. 1 </w:t>
            </w:r>
            <w:r w:rsidRPr="009B18D9">
              <w:rPr>
                <w:rFonts w:ascii="Times New Roman" w:eastAsia="Calibri" w:hAnsi="Times New Roman" w:cs="Times New Roman"/>
                <w:sz w:val="20"/>
                <w:szCs w:val="20"/>
              </w:rPr>
              <w:t>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un sistem de taxare rutieră electronică de pe teritoriul unui stat membru este modificat în mod substanţial, respectivul stat membru ia măsurile necesare pentru a se asigura că entitatea care percepe taxele rutiere responsabilă de sistem publică declaraţia actualizată privind domeniul SETRE cu suficient timp înainte pentru a permite furnizorilor SETRE deja acreditaţi să îşi adapteze elementele constitutive de interoperabilitate la noile cerinţe şi să obţină reacreditarea cel târziu cu o lună înainte de lansarea operaţională a sistemului modificat, ţinând seama de durata procesului de evaluare a conformităţii cu specificaţiile şi a caracterului adecvat pentru utilizare al elementelor constitutive de interoperabilitate menţionate la articolul 15 alineatul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un sistem de tarifare rutieră electronică este modificat în mod substanţial, să publice declaraţia actualizată privind domeniul SETRE cu suficient timp înainte pentru a permite furnizorilor SETRE deja autorizați să îşi adapteze elementele constitutive de interoperabilitate la noile cerinţe şi să obţină reautorizarea cel târziu cu o lună înainte de lansarea operaţională a sistemului modificat; Declarația va contine și planificarea detaliată a reevaluării conformităţii cu specificaţiile şi a caracterului adecvat pentru utilizare al elementelor constitutive de interoperabilitate ale furnizorilor SETRE deja autorizați în sistem;</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023F7"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sz w:val="20"/>
                <w:szCs w:val="20"/>
              </w:rPr>
              <w:t>Transpune si art. 15 alin. (1) par. 2 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entităţile care percep taxele rutiere responsabile de domeniile SETRE de pe teritoriul lor acceptă în mod nediscriminatoriu orice furnizor SETRE care solicită autorizaţia de a furniza SETRE pe domeniile SETRE menţionate.</w:t>
            </w:r>
            <w:r w:rsidR="00037BD2" w:rsidRPr="009B18D9">
              <w:rPr>
                <w:rFonts w:ascii="Times New Roman" w:hAnsi="Times New Roman" w:cs="Times New Roman"/>
                <w:sz w:val="20"/>
                <w:szCs w:val="20"/>
              </w:rPr>
              <w:t xml:space="preserve"> Acceptarea unui furnizor SETRE într-un domeniu SETRE este condiţionată de respectarea de către acesta a obligaţiilor şi a condiţiilor generale stabilite în declaraţia privind domeniul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e)</w:t>
            </w:r>
          </w:p>
        </w:tc>
        <w:tc>
          <w:tcPr>
            <w:tcW w:w="4819"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accepte în mod nediscriminatoriu orice furnizor SETRE care solicită autorizaţia de a furniza SETRE pe domeniile SETRE pe care aplică tarife rutiere, dacă acesta respectă obligaţiile şi condiţiile generale stabilite în declaraţia privind domeniul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81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entităţile care percep taxele rutiere nu impun furnizorilor SETRE să utilizeze niciun fel de soluţii sau procese tehnice specifice care împiedică interoperabilitatea dintre elementele constitutive de interoperabilitate ale unui furnizor SETRE şi sistemele de taxare rutieră electronică din alte domenii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f)</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nu impună furnizorilor SETRE să utilizeze niciun fel de soluţii sau procese tehnice specifice care împiedică interoperabilitatea dintre elementele constitutive de interoperabilitate şi sistemele de tarifare rutieră electronică din alte domenii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o entitate care percepe taxele rutiere şi un furnizor SETRE nu ajung la un acord, chestiunea poate fi deferită organismului de conciliere responsabil pentru domeniul de taxare rutieră în cauză.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037BD2"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sz w:val="20"/>
                <w:szCs w:val="20"/>
              </w:rPr>
              <w:t>Transpus prin art 11 alin. 1 lit. c)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4695"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Fiecare stat membru ia măsurile necesare pentru a se asigura că contractele încheiate între entitatea care percepe taxele rutiere şi furnizorul SETRE, în ceea ce priveşte furnizarea SETRE pe teritoriul statului membru în cauză, prevăd posibilitatea ca factura pentru taxa rutieră să fie eliberată direct utilizatorului SETRE de către furnizorul SETRE.</w:t>
            </w:r>
          </w:p>
          <w:p w:rsidR="00BE32B7" w:rsidRPr="009B18D9" w:rsidRDefault="00204695"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Entitatea care percepe taxele rutiere poate solicita furnizorului SETRE să emită factura utilizatorului în numele entităţii care percepe taxele rutiere, iar furnizorul SETRE se conformează cererii respective.</w:t>
            </w:r>
          </w:p>
        </w:tc>
        <w:tc>
          <w:tcPr>
            <w:tcW w:w="1134"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g)</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prevadă în contractele încheiate cu furnizorul SETRE, ca factura pentru tariful rutier să fie eliberată de către acesta direct utilizatorului SETRE, în nume propriu sau în numele entității;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lastRenderedPageBreak/>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Taxa rutieră percepută utilizatorilor SETRE de entităţile care percep taxele rutiere nu depăşeşte taxa rutieră naţională sau locală corespunzătoare.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h)</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nu perceapă utilizatorilor SETRE tarife rutiere care să depășească nivelul stabilit conform prevederilor legale;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4695"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Acest lucru nu aduce atingere dreptului statelor membre de a introduce rabaturi sau reduceri pentru a promova utilizarea plăţilor electronice ale taxelor rutiere.</w:t>
            </w:r>
          </w:p>
          <w:p w:rsidR="00BE32B7" w:rsidRPr="009B18D9" w:rsidRDefault="00204695"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Toate rabaturile sau reducerile taxelor rutiere, acordate utilizatorilor de OBE de un stat membru sau de o entitate care percepe taxele rutiere, sunt transparente, anunţate public şi disponibile în aceleaşi condiţii </w:t>
            </w:r>
            <w:r w:rsidRPr="009B18D9">
              <w:rPr>
                <w:rFonts w:ascii="Times New Roman" w:hAnsi="Times New Roman" w:cs="Times New Roman"/>
                <w:strike/>
                <w:sz w:val="20"/>
                <w:szCs w:val="20"/>
              </w:rPr>
              <w:t xml:space="preserve">şi </w:t>
            </w:r>
            <w:r w:rsidRPr="009B18D9">
              <w:rPr>
                <w:rFonts w:ascii="Times New Roman" w:hAnsi="Times New Roman" w:cs="Times New Roman"/>
                <w:sz w:val="20"/>
                <w:szCs w:val="20"/>
              </w:rPr>
              <w:t>pentru clienţii furnizorilor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i)</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în care acordă reduceri utilizatorilor, acestea trebuie sa fie transparente, anunţate public şi disponibile în aceleaşi condiţii pentru toți clienţii furnizorilor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Statele membre iau măsurile necesare pentru a se asigura că entităţile care percep taxele rutiere acceptă în cadrul domeniilor lor SETRE orice OBE funcţional de la furnizorii SETRE cu care au relaţii contractuale care a fost certificat în conformitate cu procedura definită în actele de punere în aplicare menţionate la articolul 15 alineatul (7) şi care nu apare pe o listă a OBE nevalidate, menţionată la articolul 5 alineatul (5).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j)</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sa accepte de la furnizorii SETRE cu care au relaţii contractuale orice OBE funcţional pentru care conformitatea cu specificațiile și adecvarea pentru utilizare a elementelor constitutive de interoperabilitate au fost evaluate în conformitate cu prevederile art. 5 din Regulamentul delegat (UE) nr. 204/2020 al Comisiei din 28 noiembrie 2019 privind 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 şi care nu apare pe o listă a OBE nevalidate.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unei disfuncţionalităţi a SETRE, imputabile entităţii care percepe taxele rutiere, aceasta asigură o modalitate de funcţionare a serviciului în condiţii de avarie, permiţând vehiculelor dotate cu echipamentele menţionate la alineatul (6) să circule în condiţii de siguranţă, cu o întârziere minimă şi fără a fi suspectate de neplata unei taxe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k)</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în cazul unei disfuncţionalităţi a SETRE, care îi este imputabilă, să asigure o modalitate de funcţionare a serviciului în condiţii de avarie, permiţând vehiculelor dotate cu OBE funcţional să circule cu o întârziere minimă şi fără a fi suspectate de neplata tarifului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iau măsurile necesare pentru a se asigura că entităţile care percep taxele rutiere colaborează în mod nediscriminatoriu cu furnizorii sau producătorii SETRE sau cu organismele notificate în vederea evaluării caracterului adecvat pentru utilizare al elementelor constitutive de interoperabilitate în cadrul domeniilor 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l)</w:t>
            </w:r>
          </w:p>
          <w:p w:rsidR="00BE32B7" w:rsidRPr="009B18D9" w:rsidRDefault="00BE32B7"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să colaboreze în mod nediscriminatoriu cu furnizorii SETRE, producătorii SETRE și cu organismele notificate, după caz, în vederea evaluării caracterului adecvat pentru utilizare al elementelor constitutive de interoperabilitate în cadrul domeniului lor SETRE;</w:t>
            </w: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m)</w:t>
            </w:r>
          </w:p>
        </w:tc>
        <w:tc>
          <w:tcPr>
            <w:tcW w:w="481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4"/>
              </w:rPr>
              <w:t>să nu divulge niciunui alt furnizor de servicii de tarifare rutieră datele obținute de la furnizorii SETRE în conformitate cu prevederile art. 5 alin. (1) lit. k) si lit. l);</w:t>
            </w: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5 alin. 8 par. 3 </w:t>
            </w:r>
            <w:r w:rsidR="00B94EEB" w:rsidRPr="009B18D9">
              <w:rPr>
                <w:rFonts w:ascii="Times New Roman" w:eastAsia="Calibri" w:hAnsi="Times New Roman" w:cs="Times New Roman"/>
                <w:sz w:val="20"/>
                <w:szCs w:val="20"/>
              </w:rPr>
              <w:t xml:space="preserve">si art. 5 alin. 9 par. 3 </w:t>
            </w:r>
            <w:r w:rsidRPr="009B18D9">
              <w:rPr>
                <w:rFonts w:ascii="Times New Roman" w:eastAsia="Calibri" w:hAnsi="Times New Roman" w:cs="Times New Roman"/>
                <w:sz w:val="20"/>
                <w:szCs w:val="20"/>
              </w:rPr>
              <w:t>din Directiva</w:t>
            </w:r>
          </w:p>
        </w:tc>
      </w:tr>
      <w:tr w:rsidR="009B18D9" w:rsidRPr="009B18D9" w:rsidTr="008E68B2">
        <w:trPr>
          <w:gridAfter w:val="1"/>
          <w:wAfter w:w="7" w:type="dxa"/>
          <w:trHeight w:val="1302"/>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hAnsi="Times New Roman" w:cs="Times New Roman"/>
                <w:sz w:val="20"/>
                <w:szCs w:val="20"/>
              </w:rPr>
              <w:t>n)</w:t>
            </w:r>
          </w:p>
        </w:tc>
        <w:tc>
          <w:tcPr>
            <w:tcW w:w="481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4"/>
              </w:rPr>
              <w:t>în cazul în care este integrată cu un furnizor de servicii de tarifare rutieră într-o singură entitate, să folosească datele prevăzute la art. 5 alin. (1) lit. k) și lit. l) exclusiv în scopul identificării persoanelor suspectate de neplata tarifului rutier și în scopul respectării obligaţiilor faţă de autorităţile fiscale, după caz;</w:t>
            </w: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5 alin. 8 par. 4 </w:t>
            </w:r>
            <w:r w:rsidR="00B94EEB" w:rsidRPr="009B18D9">
              <w:rPr>
                <w:rFonts w:ascii="Times New Roman" w:eastAsia="Calibri" w:hAnsi="Times New Roman" w:cs="Times New Roman"/>
                <w:sz w:val="20"/>
                <w:szCs w:val="20"/>
              </w:rPr>
              <w:t xml:space="preserve">si art. 5 alin. 9 par. 4 </w:t>
            </w:r>
            <w:r w:rsidRPr="009B18D9">
              <w:rPr>
                <w:rFonts w:ascii="Times New Roman" w:eastAsia="Calibri" w:hAnsi="Times New Roman" w:cs="Times New Roman"/>
                <w:sz w:val="20"/>
                <w:szCs w:val="20"/>
              </w:rPr>
              <w:t>din Directiva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sz w:val="20"/>
                <w:szCs w:val="20"/>
              </w:rPr>
              <w:t>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A95D55" w:rsidP="00D87DEC">
            <w:pPr>
              <w:widowControl w:val="0"/>
              <w:spacing w:after="0" w:line="240" w:lineRule="auto"/>
              <w:jc w:val="both"/>
              <w:rPr>
                <w:rFonts w:ascii="Times New Roman" w:hAnsi="Times New Roman" w:cs="Times New Roman"/>
                <w:b/>
                <w:bCs/>
                <w:i/>
                <w:sz w:val="20"/>
                <w:szCs w:val="20"/>
              </w:rPr>
            </w:pPr>
            <w:r w:rsidRPr="00A95D55">
              <w:rPr>
                <w:rFonts w:ascii="Times New Roman" w:hAnsi="Times New Roman" w:cs="Times New Roman"/>
                <w:sz w:val="20"/>
                <w:szCs w:val="20"/>
              </w:rPr>
              <w:t>să respecte obligațiile care îi revin în conformitate cu prevederile Regulamentului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și ale Regulamentului delegat (UE) nr. 204/2020 al Comisiei din 28 noiembrie 2019 privind 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p>
        </w:tc>
        <w:tc>
          <w:tcPr>
            <w:tcW w:w="2909" w:type="dxa"/>
            <w:tcBorders>
              <w:left w:val="single" w:sz="4" w:space="0" w:color="000000"/>
              <w:bottom w:val="single" w:sz="4" w:space="0" w:color="000000"/>
              <w:right w:val="single" w:sz="4" w:space="0" w:color="000000"/>
            </w:tcBorders>
            <w:shd w:val="clear" w:color="auto" w:fill="FFFFFF" w:themeFill="background1"/>
          </w:tcPr>
          <w:p w:rsidR="00BE32B7" w:rsidRPr="009B18D9" w:rsidRDefault="0089721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Comisia adoptă acte de punere în aplicare, până la 19 octombrie 2019, pentru a stabili conţinutul minim al declaraţiei privind domeniul SETRE, inclusiv: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cerinţele pentru furnizorii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condiţiile procedurale, inclusiv condiţiile comerciale;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procedura de acreditare a furnizorilor SETRE;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informaţiile privind taxa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Respectivele acte de punere în aplicare se adoptă în conformitate cu procedura de examinare menţionată la articolul 31 alineatul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Remuneraţia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Statele membre iau măsurile necesare pentru a se asigura că furnizorii SETRE au dreptul la remuneraţie din partea entităţii care percepe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7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Furnizorii SETRE au dreptul la remuneraţie din partea entităţii care percepe tarifele rutiere.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Statele membre iau măsurile necesare pentru a se asigura că metodologia pentru definirea remuneraţiilor furnizorilor SETRE este transparentă, nediscriminatorie şi identică pentru toţi furnizorii SETRE acreditaţi în cadrul unui anumit domeniu SETRE. Statele membre iau măsurile necesare pentru a se asigura că metodologia este publicată în cadrul condiţiilor comerciale în declaraţia privind domeniul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7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Metodologia pentru stabilirea remuneraţiei furnizorilor SETRE este transparentă, nediscriminatorie şi identică pentru toţi furnizorii SETRE autorizați în cadrul unui anumit domeniu SETRE; Metodologia este publicată în cadrul condiţiilor comerciale în declaraţia privind domeniul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Statele membre iau măsurile necesare pentru a se asigura că, în domeniile SETRE cu un furnizor de servicii principal, </w:t>
            </w:r>
            <w:r w:rsidRPr="009B18D9">
              <w:rPr>
                <w:rFonts w:ascii="Times New Roman" w:eastAsia="Calibri" w:hAnsi="Times New Roman" w:cs="Times New Roman"/>
                <w:sz w:val="20"/>
                <w:szCs w:val="20"/>
              </w:rPr>
              <w:lastRenderedPageBreak/>
              <w:t xml:space="preserve">metodologia de calcul al remuneraţiilor furnizorilor SETRE urmează aceeaşi structură ca în cazul remuneraţiei unor servicii comparabile furnizate de furnizorul de servicii principal.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Art. 7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În domeniile SETRE cu un furnizor de servicii principal, metodologia de calcul al remuneraţiilor furnizorilor </w:t>
            </w:r>
            <w:r w:rsidRPr="009B18D9">
              <w:rPr>
                <w:rFonts w:ascii="Times New Roman" w:eastAsia="Calibri" w:hAnsi="Times New Roman" w:cs="Times New Roman"/>
                <w:sz w:val="20"/>
                <w:szCs w:val="20"/>
              </w:rPr>
              <w:lastRenderedPageBreak/>
              <w:t>SETRE urmează aceeaşi structură ca în cazul remuneraţiei unor servicii comparabile furnizate de furnizorul de servicii principal.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Cuantumul remuneraţiei furnizorilor SETRE poate diferi de remuneraţia furnizorului de servicii principal, dacă acest lucru este justificat 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7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Cuantumul remuneraţiei furnizorilor SETRE poate diferi de remuneraţia furnizorului de servicii principal, dacă acest lucru este justificat de: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costul aferent cerinţelor şi obligaţiilor specifice ale furnizorului de servicii principal, şi nu ale furnizorilor SETRE;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costul aferent cerinţelor şi obligaţiilor specifice ale furnizorului de servicii principal;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rPr>
                <w:rFonts w:ascii="Times New Roman" w:eastAsia="Calibri" w:hAnsi="Times New Roman" w:cs="Times New Roman"/>
                <w:sz w:val="20"/>
                <w:szCs w:val="20"/>
              </w:rPr>
            </w:pPr>
            <w:r w:rsidRPr="009B18D9">
              <w:rPr>
                <w:rFonts w:ascii="Times New Roman" w:eastAsia="Calibri" w:hAnsi="Times New Roman" w:cs="Times New Roman"/>
                <w:sz w:val="20"/>
                <w:szCs w:val="20"/>
              </w:rPr>
              <w:t>necesitatea de a deduce din remuneraţia furnizorilor SETRE taxele fixe impuse de entitatea care percepe taxele rutiere, bazate pe costurile, care îi revin entităţii care percepe taxele rutiere, aferente furnizării, operării şi întreţinerii unui sistem conform SETRE în domeniul de taxare al acesteia, inclusiv pe costurile legate de acreditare, în cazul în care aceste costuri nu sunt incluse în taxa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necesitatea de a deduce din remuneraţia furnizorilor SETRE taxele fixe impuse de entitatea care percepe tarifele rutiere, bazate pe costurile care îi revin acesteia, aferente furnizării, operării şi întreţinerii unui sistem conform SETRE în domeniul de tarifare al acesteia, inclusiv pe costurile legate de autorizare în cazul în care aceste costuri nu sunt incluse în tariful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 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b/>
                <w:iCs/>
                <w:sz w:val="20"/>
                <w:szCs w:val="20"/>
              </w:rPr>
            </w:pPr>
            <w:r w:rsidRPr="009B18D9">
              <w:rPr>
                <w:rFonts w:ascii="Times New Roman" w:eastAsia="Calibri" w:hAnsi="Times New Roman" w:cs="Times New Roman"/>
                <w:b/>
                <w:iCs/>
                <w:sz w:val="20"/>
                <w:szCs w:val="20"/>
              </w:rPr>
              <w:t>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Statele membre iau măsurile necesare pentru a se asigura că, în cazul în care, pentru stabilirea tarifului taxei rutiere aplicabil unui anumit vehicul, există neconcordanţe între clasificarea vehiculului utilizată de furnizorul SETRE şi cea utilizată de entitatea care percepe taxele rutiere, prevalează clasificarea acesteia din urmă, cu excepţia existenţei unei erori care poate fi demonstrată.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 8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În cazul în care, pentru stabilirea tarifului rutier aplicabil pentru un anumit vehicul există neconcordanţe între clasificarea vehiculului utilizată de furnizorul SETRE şi cea utilizată de entitatea care il percepe, prevalează clasificarea acesteia din urmă, cu excepţia existenţei unei erori care poate fi demonstrată.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Statele membre iau măsurile necesare pentru a se asigura că entitatea care percepe taxele rutiere are dreptul să pretindă din partea unui furnizor SETRE plata pentru orice declaraţie privind taxa rutieră susţinută de probe şi pentru orice nedeclarare a unei taxe rutiere susţinută de probe, cu privire la orice cont de utilizator SETRE administrat de furnizorul SETRE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 8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Entitatea care percepe tariful rutier are dreptul să pretindă din partea unui furnizor SETRE plata pentru orice declaraţie privind tariful rutier şi pentru orice nedeclarare a unui tarif rutier, susţinute de probe, cu privire la orice cont de utilizator SETRE administrat de furnizorul SETRE respectiv.</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i/>
                <w:iCs/>
                <w:sz w:val="20"/>
                <w:szCs w:val="20"/>
              </w:rPr>
            </w:pPr>
          </w:p>
        </w:tc>
      </w:tr>
      <w:tr w:rsidR="009B18D9" w:rsidRPr="009B18D9" w:rsidTr="008E68B2">
        <w:trPr>
          <w:gridAfter w:val="1"/>
          <w:wAfter w:w="7" w:type="dxa"/>
          <w:trHeight w:val="199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Statele membre iau măsurile necesare pentru a se asigura că, în cazul în care un furnizor SETRE a transmis entităţii care percepe taxele rutiere o listă a OBE nevalidate, menţionată la articolul 5 alineatul (5), furnizorul SETRE nu răspunde pentru plata niciunei taxe suplimentare apărute în urma utilizării acestor OBE nevalidate. Numărul elementelor din lista OBE nevalidate, formatul listei şi frecvenţa de actualizare a acesteia sunt stabilite de comun acord între entităţile care percep taxele rutiere şi furnizorii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 8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În cazul în care un furnizor SETRE a transmis entităţii care percepe tariful rutier lista de OBE nevalidate prevăzută la art. 5 alin. (1) lit. g), furnizorul SETRE nu răspunde pentru plata niciunui tarif în urma utilizării acestor OBE nevalidate. Numărul elementelor din lista OBE nevalidate, formatul listei şi frecvenţa de actualizare a acesteia sunt stabilite de comun acord între entitatea care percepe tariful rutier şi furnizorul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 xml:space="preserve">Statele membre iau măsurile necesare pentru a se asigura că, în sistemele de taxare rutieră bazate pe tehnologia cu microunde, entităţile care percep taxele rutiere comunică furnizorilor SETRE declaraţii privind taxa rutieră susţinute de probe în legătură cu taxele rutiere stabilite în sarcina respectivilor </w:t>
            </w:r>
            <w:r w:rsidRPr="009B18D9">
              <w:rPr>
                <w:rFonts w:ascii="Times New Roman" w:eastAsia="Calibri" w:hAnsi="Times New Roman" w:cs="Times New Roman"/>
                <w:iCs/>
                <w:sz w:val="20"/>
                <w:szCs w:val="20"/>
              </w:rPr>
              <w:lastRenderedPageBreak/>
              <w:t>utilizatori SETRE ai acestora.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lastRenderedPageBreak/>
              <w:t>Art. 8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În sistemele de tarifare rutieră bazate pe tehnologia cu microunde, entitatea care percepe tariful rutier comunică furnizorului SETRE declaraţii privind tariful rutier susţinute de probe în legătură cu tarifele rutiere stabilite în sarcina utilizatorilor SETRE ai acestora.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 xml:space="preserve">Comisia adoptă acte delegate în conformitate cu articolul 30, până la 19 octombrie 2019, pentru a stabili detaliile pentru clasificarea vehiculelor în scopul instituirii sistemelor de tarifare aplicabile, inclusiv eventualele proceduri necesare pentru instituirea unor astfel de sisteme.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Nu necesita transpunere</w:t>
            </w:r>
          </w:p>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FFFFFF" w:themeFill="background1"/>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 xml:space="preserve">Setul de parametri de clasificare a vehiculelor care urmează să fie acceptaţi de SETRE nu impune limite în ceea ce priveşte alegerea schemelor de tarifare de către autorităţile care impun taxa rutieră.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Nu necesita transpunere</w:t>
            </w:r>
          </w:p>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FFFFFF" w:themeFill="background1"/>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 xml:space="preserve">Comisia asigură o flexibilitate suficientă pentru a permite setului de parametri de clasificare care urmează să fie acceptaţi de SETRE să evolueze în funcţie de necesităţile viitoare previzibile.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Nu necesita transpunere</w:t>
            </w:r>
          </w:p>
        </w:tc>
      </w:tr>
      <w:tr w:rsidR="009B18D9" w:rsidRPr="009B18D9" w:rsidTr="008E68B2">
        <w:trPr>
          <w:gridAfter w:val="1"/>
          <w:wAfter w:w="7" w:type="dxa"/>
          <w:trHeight w:val="94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FFFFFF" w:themeFill="background1"/>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Actele respective nu aduc atingere stabilirii</w:t>
            </w:r>
            <w:r w:rsidRPr="009B18D9">
              <w:rPr>
                <w:rFonts w:ascii="Times New Roman" w:eastAsia="Calibri" w:hAnsi="Times New Roman" w:cs="Times New Roman"/>
                <w:sz w:val="20"/>
                <w:szCs w:val="20"/>
              </w:rPr>
              <w:t xml:space="preserve">, în conformitate cu Directiva </w:t>
            </w:r>
            <w:hyperlink r:id="rId20">
              <w:r w:rsidRPr="009B18D9">
                <w:rPr>
                  <w:rFonts w:ascii="Times New Roman" w:eastAsia="Calibri" w:hAnsi="Times New Roman" w:cs="Times New Roman"/>
                  <w:sz w:val="20"/>
                  <w:szCs w:val="20"/>
                </w:rPr>
                <w:t>1999/62/CE</w:t>
              </w:r>
            </w:hyperlink>
            <w:r w:rsidRPr="009B18D9">
              <w:rPr>
                <w:rFonts w:ascii="Times New Roman" w:eastAsia="Calibri" w:hAnsi="Times New Roman" w:cs="Times New Roman"/>
                <w:sz w:val="20"/>
                <w:szCs w:val="20"/>
              </w:rPr>
              <w:t xml:space="preserve"> a Parlamentului</w:t>
            </w:r>
            <w:r w:rsidRPr="009B18D9">
              <w:rPr>
                <w:rFonts w:ascii="Times New Roman" w:eastAsia="Calibri" w:hAnsi="Times New Roman" w:cs="Times New Roman"/>
                <w:sz w:val="20"/>
                <w:szCs w:val="20"/>
                <w:shd w:val="clear" w:color="auto" w:fill="FFFFFF" w:themeFill="background1"/>
              </w:rPr>
              <w:t xml:space="preserve"> European şi a Consiliului (15), a parametrilor pe baza cărora vor varia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Nu necesita transpunere</w:t>
            </w:r>
          </w:p>
        </w:tc>
      </w:tr>
      <w:tr w:rsidR="009B18D9" w:rsidRPr="009B18D9" w:rsidTr="008E68B2">
        <w:trPr>
          <w:gridAfter w:val="1"/>
          <w:wAfter w:w="7" w:type="dxa"/>
          <w:trHeight w:val="514"/>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shd w:val="clear" w:color="auto" w:fill="FFFFFF" w:themeFill="background1"/>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both"/>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 xml:space="preserve">(15)Directiva </w:t>
            </w:r>
            <w:hyperlink r:id="rId21">
              <w:r w:rsidRPr="009B18D9">
                <w:rPr>
                  <w:rFonts w:ascii="Times New Roman" w:eastAsia="Calibri" w:hAnsi="Times New Roman" w:cs="Times New Roman"/>
                  <w:sz w:val="20"/>
                  <w:szCs w:val="20"/>
                  <w:shd w:val="clear" w:color="auto" w:fill="FFFFFF" w:themeFill="background1"/>
                </w:rPr>
                <w:t>1999/62/CE</w:t>
              </w:r>
            </w:hyperlink>
            <w:r w:rsidRPr="009B18D9">
              <w:rPr>
                <w:rFonts w:ascii="Times New Roman" w:eastAsia="Calibri" w:hAnsi="Times New Roman" w:cs="Times New Roman"/>
                <w:sz w:val="20"/>
                <w:szCs w:val="20"/>
                <w:shd w:val="clear" w:color="auto" w:fill="FFFFFF" w:themeFill="background1"/>
              </w:rPr>
              <w:t xml:space="preserve"> a Parlamentului European şi a Consiliului din 17 iunie 1999 de aplicare a taxelor la vehiculele grele de marfă pentru utilizarea anumitor infrastructuri (JO L 187, 20.7.1999, p. 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BE32B7" w:rsidRPr="009B18D9" w:rsidRDefault="00BE32B7" w:rsidP="00D87DEC">
            <w:pPr>
              <w:widowControl w:val="0"/>
              <w:spacing w:after="0" w:line="240" w:lineRule="auto"/>
              <w:jc w:val="center"/>
              <w:rPr>
                <w:rFonts w:ascii="Times New Roman" w:eastAsia="Calibri" w:hAnsi="Times New Roman" w:cs="Times New Roman"/>
                <w:sz w:val="20"/>
                <w:szCs w:val="20"/>
                <w:shd w:val="clear" w:color="auto" w:fill="FFFFFF" w:themeFill="background1"/>
              </w:rPr>
            </w:pPr>
            <w:r w:rsidRPr="009B18D9">
              <w:rPr>
                <w:rFonts w:ascii="Times New Roman" w:eastAsia="Calibri" w:hAnsi="Times New Roman" w:cs="Times New Roman"/>
                <w:sz w:val="20"/>
                <w:szCs w:val="20"/>
                <w:shd w:val="clear" w:color="auto" w:fill="FFFFFF" w:themeFill="background1"/>
              </w:rPr>
              <w:t>Nu necesita transpunere</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b/>
                <w:sz w:val="20"/>
                <w:szCs w:val="20"/>
              </w:rPr>
            </w:pPr>
            <w:r w:rsidRPr="009B18D9">
              <w:rPr>
                <w:rFonts w:ascii="Times New Roman" w:eastAsia="Calibri" w:hAnsi="Times New Roman" w:cs="Times New Roman"/>
                <w:b/>
                <w:sz w:val="20"/>
                <w:szCs w:val="20"/>
              </w:rPr>
              <w:t>Contabilitatea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Statele membre iau măsurile necesare pentru a se asigura că persoanele juridice care furnizează servicii de taxare rutieră ţin registre contabile care să permită efectuarea unei distincţii clare între costurile şi veniturile legate de furnizarea de servicii de taxare rutieră şi costurile şi veniturile aferente altor activităţi. Informaţiile privind costurile şi veniturile legate de furnizarea de servicii de taxare rutieră se transmit, la cerere, organismului de conciliere </w:t>
            </w:r>
            <w:r w:rsidRPr="009B18D9">
              <w:rPr>
                <w:rFonts w:ascii="Times New Roman" w:eastAsia="Calibri" w:hAnsi="Times New Roman" w:cs="Times New Roman"/>
                <w:bCs/>
                <w:iCs/>
                <w:sz w:val="20"/>
                <w:szCs w:val="20"/>
              </w:rPr>
              <w:t>sau organismului judiciar competent.</w:t>
            </w:r>
            <w:r w:rsidRPr="009B18D9">
              <w:rPr>
                <w:rFonts w:ascii="Times New Roman" w:eastAsia="Calibri" w:hAnsi="Times New Roman" w:cs="Times New Roman"/>
                <w:sz w:val="20"/>
                <w:szCs w:val="20"/>
              </w:rPr>
              <w:t xml:space="preserve"> Statele membre iau, de asemenea, măsurile necesare pentru a se asigura că subvenţiile încrucişate între activităţile efectuate în calitate de furnizor de servicii de taxare rutieră şi alte activităţi nu sunt permise.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
                <w:i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
                <w:iCs/>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Transpus prin art 5 alin. (1) lit. n), o) si p)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Drepturile şi obligaţiile utilizatorilor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Calibri" w:hAnsi="Times New Roman" w:cs="Times New Roman"/>
                <w:iCs/>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iau măsurile necesare pentru a permite utilizatorilor SETRE să se aboneze la SETRE prin intermediul oricărui furnizor SETRE, indiferent de cetăţenia acestora, de statul membru de reşedinţă sau de statul membru în care este înmatriculat vehiculul.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Art.9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Utilizatorii SETRE se pot abona la SETRE prin intermediul oricărui furnizor SETRE, indiferent de cetăţenia acestora, de statul membru de reşedinţă sau de statul membru în care este înmatriculat vehiculul.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La semnarea unui contract, utilizatorii SETRE sunt informaţi în mod corespunzător cu privire la metodele de plată acceptate şi, în conformitate cu Regulamentul (UE) </w:t>
            </w:r>
            <w:hyperlink r:id="rId22">
              <w:r w:rsidRPr="009B18D9">
                <w:rPr>
                  <w:rFonts w:ascii="Times New Roman" w:eastAsia="Times New Roman" w:hAnsi="Times New Roman" w:cs="Times New Roman"/>
                  <w:b/>
                  <w:sz w:val="20"/>
                  <w:szCs w:val="20"/>
                  <w:u w:val="single"/>
                  <w:shd w:val="clear" w:color="auto" w:fill="FFFFFF"/>
                </w:rPr>
                <w:t>2016/679</w:t>
              </w:r>
            </w:hyperlink>
            <w:r w:rsidRPr="009B18D9">
              <w:rPr>
                <w:rFonts w:ascii="Times New Roman" w:eastAsia="Times New Roman" w:hAnsi="Times New Roman" w:cs="Times New Roman"/>
                <w:sz w:val="20"/>
                <w:szCs w:val="20"/>
                <w:shd w:val="clear" w:color="auto" w:fill="FFFFFF"/>
              </w:rPr>
              <w:t xml:space="preserve">, cu privire la </w:t>
            </w:r>
            <w:r w:rsidRPr="009B18D9">
              <w:rPr>
                <w:rFonts w:ascii="Times New Roman" w:eastAsia="Times New Roman" w:hAnsi="Times New Roman" w:cs="Times New Roman"/>
                <w:sz w:val="20"/>
                <w:szCs w:val="20"/>
                <w:shd w:val="clear" w:color="auto" w:fill="FFFFFF"/>
              </w:rPr>
              <w:lastRenderedPageBreak/>
              <w:t>prelucrarea datelor lor cu caracter personal şi la drepturile care decurg din legislaţia aplicabilă privind protecţia datelor cu caracter personal.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iCs/>
                <w:sz w:val="20"/>
                <w:szCs w:val="20"/>
                <w:highlight w:val="yellow"/>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3536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5 alin. (1) lit. q) din proiectul de Ordonanta</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Plata taxei rutiere de către utilizatorul SETRE către furnizorul SETRE se consideră a reprezenta achitarea obligaţiilor de plată ale utilizatorului SETRE faţă de entitatea competentă pentru perceperea taxelor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Art.9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Plata tarifului rutier către furnizorul SETRE se consideră a reprezenta achitarea obligaţiilor de plată ale utilizatorului SETRE faţă de entitatea care percepe tariful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Art. 10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hAnsi="Times New Roman" w:cs="Times New Roman"/>
                <w:iCs/>
                <w:sz w:val="20"/>
                <w:szCs w:val="20"/>
              </w:rPr>
              <w:t>Utilizatorii SETRE au urmatoarele obligatii: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32B7" w:rsidRPr="009B18D9" w:rsidRDefault="00BE32B7"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A95D55" w:rsidP="00D87DEC">
            <w:pPr>
              <w:pStyle w:val="oj-sti-art"/>
              <w:spacing w:before="0" w:beforeAutospacing="0" w:after="0" w:afterAutospacing="0"/>
              <w:jc w:val="both"/>
              <w:rPr>
                <w:iCs/>
                <w:sz w:val="20"/>
                <w:szCs w:val="20"/>
              </w:rPr>
            </w:pPr>
            <w:r w:rsidRPr="00A95D55">
              <w:rPr>
                <w:sz w:val="20"/>
                <w:szCs w:val="20"/>
              </w:rPr>
              <w:t>să respecte obligațiile care le revin în conformitate cu prevederile art. 3 din 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w:t>
            </w:r>
            <w:r w:rsidR="002E27A4" w:rsidRPr="009B18D9">
              <w:rPr>
                <w:sz w:val="20"/>
                <w:szCs w:val="20"/>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În cazul în care pe un vehicul sunt instalate sau sunt prezente două sau mai multe OBE, ţine de responsabilitatea utilizatorului SETRE să utilizeze sau să activeze OBE corespunzător pentru un anumit domeniu al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Calibri" w:hAnsi="Times New Roman" w:cs="Times New Roman"/>
                <w:iCs/>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Times New Roman" w:hAnsi="Times New Roman" w:cs="Times New Roman"/>
                <w:iCs/>
                <w:sz w:val="20"/>
                <w:szCs w:val="20"/>
                <w:shd w:val="clear" w:color="auto" w:fill="FFFFFF"/>
              </w:rPr>
              <w:t>sa utilizeze sau sa activeze OBE corespunzător pentru domeniul SETRE utilizat, în cazul în care pe un vehicul sunt instalate sau sunt prezente două sau mai multe OBE.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Comisia adoptă acte delegate în conformitate cu articolul 30, până la 19 octombrie 2019, pentru a defini mai precis obligaţiile utilizatorilor SETRE în ceea ce priveşte: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2909" w:type="dxa"/>
            <w:vMerge w:val="restart"/>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 xml:space="preserve">Nu necesita transpunere </w:t>
            </w: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furnizarea de date către furnizorul SETRE;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2909" w:type="dxa"/>
            <w:vMerge/>
            <w:tcBorders>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highlight w:val="lightGray"/>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utilizarea şi manipularea OBE.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bCs/>
                <w:sz w:val="20"/>
                <w:szCs w:val="20"/>
              </w:rPr>
            </w:pPr>
            <w:r w:rsidRPr="009B18D9">
              <w:rPr>
                <w:rFonts w:ascii="Times New Roman" w:eastAsia="Times New Roman" w:hAnsi="Times New Roman" w:cs="Times New Roman"/>
                <w:bCs/>
                <w:sz w:val="20"/>
                <w:szCs w:val="20"/>
              </w:rPr>
              <w:t>-</w:t>
            </w:r>
          </w:p>
        </w:tc>
        <w:tc>
          <w:tcPr>
            <w:tcW w:w="2909"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highlight w:val="lightGray"/>
              </w:rPr>
            </w:pPr>
          </w:p>
        </w:tc>
      </w:tr>
      <w:tr w:rsidR="009B18D9" w:rsidRPr="009B18D9" w:rsidTr="008E68B2">
        <w:trPr>
          <w:gridAfter w:val="1"/>
          <w:wAfter w:w="7" w:type="dxa"/>
          <w:trHeight w:val="1"/>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III:</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ORGANISMUL DE CONCILIERE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Instituire şi funcţii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E10325"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Fiecare stat membru cu cel puţin un domeniu SETRE desemnează sau instituie un organism de conciliere în scopul facilitării medierii între entităţile care percep taxele rutiere având un domeniu SETRE pe teritoriul său şi furnizorii SETRE care au contracte sau se află în negocieri contractuale cu aceste entităţi.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iCs/>
                <w:sz w:val="20"/>
                <w:szCs w:val="20"/>
              </w:rPr>
            </w:pPr>
            <w:r w:rsidRPr="009B18D9">
              <w:rPr>
                <w:rFonts w:ascii="Times New Roman" w:eastAsia="Times New Roman" w:hAnsi="Times New Roman" w:cs="Times New Roman"/>
                <w:iCs/>
                <w:sz w:val="20"/>
                <w:szCs w:val="20"/>
              </w:rPr>
              <w:t>Art. 11 (1)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E27A4" w:rsidRPr="00E10325" w:rsidRDefault="002E27A4" w:rsidP="00E10325">
            <w:pPr>
              <w:widowControl w:val="0"/>
              <w:spacing w:after="0" w:line="240" w:lineRule="auto"/>
              <w:jc w:val="both"/>
              <w:rPr>
                <w:rFonts w:ascii="Times New Roman" w:eastAsia="Times New Roman" w:hAnsi="Times New Roman" w:cs="Times New Roman"/>
                <w:iCs/>
                <w:sz w:val="20"/>
                <w:szCs w:val="20"/>
                <w:shd w:val="clear" w:color="auto" w:fill="FFFFFF"/>
              </w:rPr>
            </w:pPr>
            <w:r w:rsidRPr="00303943">
              <w:rPr>
                <w:rFonts w:ascii="Times New Roman" w:eastAsia="Times New Roman" w:hAnsi="Times New Roman" w:cs="Times New Roman"/>
                <w:iCs/>
                <w:sz w:val="20"/>
                <w:szCs w:val="20"/>
                <w:shd w:val="clear" w:color="auto" w:fill="FFFFFF"/>
              </w:rPr>
              <w:t>În condițiile definirii a cel puțin unui domeniu SETRE în România, Ministerul Transporturilor și Infrastructurii va propune</w:t>
            </w:r>
            <w:r w:rsidR="00E10325" w:rsidRPr="00303943">
              <w:rPr>
                <w:rFonts w:ascii="Times New Roman" w:eastAsia="Times New Roman" w:hAnsi="Times New Roman" w:cs="Times New Roman"/>
                <w:iCs/>
                <w:sz w:val="20"/>
                <w:szCs w:val="20"/>
                <w:shd w:val="clear" w:color="auto" w:fill="FFFFFF"/>
              </w:rPr>
              <w:t>, prin hotărâre de Guvern,</w:t>
            </w:r>
            <w:r w:rsidRPr="00303943">
              <w:rPr>
                <w:rFonts w:ascii="Times New Roman" w:eastAsia="Times New Roman" w:hAnsi="Times New Roman" w:cs="Times New Roman"/>
                <w:iCs/>
                <w:sz w:val="20"/>
                <w:szCs w:val="20"/>
                <w:shd w:val="clear" w:color="auto" w:fill="FFFFFF"/>
              </w:rPr>
              <w:t xml:space="preserve"> instituirea unui organism de conciliere în scopul medierii între entităţile care percep tarifele rutiere pe domeniile SETRE de pe teritoriul României şi furnizorii SETRE cu care acestea au incheiate contracte, sau cu care se află în negocieri pentru incheierea unor astfel de contracte.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bookmarkStart w:id="6" w:name="_GoBack"/>
            <w:bookmarkEnd w:id="6"/>
          </w:p>
        </w:tc>
      </w:tr>
      <w:tr w:rsidR="009B18D9" w:rsidRPr="009B18D9" w:rsidTr="008E68B2">
        <w:trPr>
          <w:gridAfter w:val="1"/>
          <w:wAfter w:w="7" w:type="dxa"/>
          <w:trHeight w:val="352"/>
        </w:trPr>
        <w:tc>
          <w:tcPr>
            <w:tcW w:w="1075" w:type="dxa"/>
            <w:vMerge w:val="restart"/>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vMerge w:val="restart"/>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Organismul de conciliere este împuternicit, în special, să verifice dacă condiţiile contractuale impuse furnizorilor SETRE de către o entitate care percepe taxele rutiere sunt nediscriminatorii. Organismul de conciliere este împuternicit să verifice dacă furnizorii SETRE sunt remuneraţi în conformitate cu principiile prevăzute la articolul 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Art. 11 (2)</w:t>
            </w:r>
          </w:p>
          <w:p w:rsidR="002E27A4" w:rsidRPr="009B18D9" w:rsidRDefault="002E27A4" w:rsidP="00D87DEC">
            <w:pPr>
              <w:widowControl w:val="0"/>
              <w:spacing w:after="0" w:line="240" w:lineRule="auto"/>
              <w:jc w:val="right"/>
              <w:rPr>
                <w:rFonts w:ascii="Times New Roman" w:hAnsi="Times New Roman" w:cs="Times New Roman"/>
                <w:i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Organismul de conciliere, independent în ceea ce priveşte organizarea şi structura sa juridică în raport cu interesele comerciale ale entităţilor care percep tarifele rutiere şi ale furnizorilor de servicii de tarifare rutieră, are următoarele atribuții: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732"/>
        </w:trPr>
        <w:tc>
          <w:tcPr>
            <w:tcW w:w="1075" w:type="dxa"/>
            <w:vMerge/>
            <w:tcBorders>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vMerge/>
            <w:tcBorders>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Times New Roman" w:hAnsi="Times New Roman" w:cs="Times New Roman"/>
                <w:iCs/>
                <w:sz w:val="20"/>
                <w:szCs w:val="20"/>
                <w:shd w:val="clear" w:color="auto" w:fill="FFFFFF"/>
              </w:rPr>
              <w:t>să verifice dacă entitățile care percep tarifele rutiere impun furnizorilor SETRE condiţii contractuale nediscriminatorii;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475"/>
        </w:trPr>
        <w:tc>
          <w:tcPr>
            <w:tcW w:w="1075"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Times New Roman" w:hAnsi="Times New Roman" w:cs="Times New Roman"/>
                <w:iCs/>
                <w:sz w:val="20"/>
                <w:szCs w:val="20"/>
                <w:shd w:val="clear" w:color="auto" w:fill="FFFFFF"/>
              </w:rPr>
              <w:t>să verifice dacă furnizorii SETRE sunt remuneraţi în conformitate cu prevederile art. 7;</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menţionate la alineatul (1) iau măsurile necesare pentru a se asigura că organismul lor de conciliere este independent în ceea ce priveşte organizarea şi structura sa juridică în raport cu interesele comerciale ale entităţilor care percep taxele rutiere şi ale furnizorilor de servicii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iCs/>
                <w:sz w:val="20"/>
                <w:szCs w:val="20"/>
              </w:rPr>
            </w:pPr>
            <w:r w:rsidRPr="009B18D9">
              <w:rPr>
                <w:rFonts w:ascii="Times New Roman" w:eastAsia="Times New Roman" w:hAnsi="Times New Roman" w:cs="Times New Roman"/>
                <w:iCs/>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Calibri" w:hAnsi="Times New Roman" w:cs="Times New Roman"/>
                <w:iCs/>
                <w:sz w:val="20"/>
                <w:szCs w:val="20"/>
              </w:rPr>
              <w:t>să intervină, la solicitarea unei entităţi care percepe tarife rutiere sau a unui furnizor SETRE, în orice litigiu referitor la relaţiile contractuale sau negocierile premergătoare privind încheierea unui astfel de contract;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b/>
                <w:iCs/>
                <w:sz w:val="20"/>
                <w:szCs w:val="20"/>
              </w:rPr>
            </w:pPr>
            <w:r w:rsidRPr="009B18D9">
              <w:rPr>
                <w:rFonts w:ascii="Times New Roman" w:eastAsia="Calibri" w:hAnsi="Times New Roman" w:cs="Times New Roman"/>
                <w:sz w:val="20"/>
                <w:szCs w:val="20"/>
              </w:rPr>
              <w:t>Transpune art. 6 alin. (3) par. 3 si art. 12 alin. (1)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highlight w:val="yellow"/>
                <w:shd w:val="clear" w:color="auto" w:fill="FFFFFF"/>
              </w:rPr>
            </w:pPr>
            <w:r w:rsidRPr="009B18D9">
              <w:rPr>
                <w:rFonts w:ascii="Times New Roman" w:eastAsia="Times New Roman" w:hAnsi="Times New Roman" w:cs="Times New Roman"/>
                <w:iCs/>
                <w:sz w:val="20"/>
                <w:szCs w:val="20"/>
                <w:shd w:val="clear" w:color="auto" w:fill="FFFFFF"/>
              </w:rPr>
              <w:t>să realizeze schimburi de informaţii cu organismele de conciliere din statele membre ale Uniunii Europene, referitoare la activitatea lor, la principiile lor directoare şi la practicile pe care le utilizează.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D9065E" w:rsidP="00D87DEC">
            <w:pPr>
              <w:widowControl w:val="0"/>
              <w:spacing w:after="0" w:line="240" w:lineRule="auto"/>
              <w:jc w:val="center"/>
              <w:rPr>
                <w:rFonts w:ascii="Times New Roman" w:eastAsia="Calibri" w:hAnsi="Times New Roman" w:cs="Times New Roman"/>
                <w:b/>
                <w:iCs/>
                <w:sz w:val="20"/>
                <w:szCs w:val="20"/>
              </w:rPr>
            </w:pPr>
            <w:r w:rsidRPr="009B18D9">
              <w:rPr>
                <w:rFonts w:ascii="Times New Roman" w:eastAsia="Calibri" w:hAnsi="Times New Roman" w:cs="Times New Roman"/>
                <w:sz w:val="20"/>
                <w:szCs w:val="20"/>
              </w:rPr>
              <w:t>Transpune art. 12 alin. (5)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Art. 11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A95D55"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A95D55">
              <w:rPr>
                <w:rFonts w:ascii="Times New Roman" w:eastAsia="Times New Roman" w:hAnsi="Times New Roman" w:cs="Times New Roman"/>
                <w:iCs/>
                <w:sz w:val="20"/>
                <w:szCs w:val="20"/>
                <w:shd w:val="clear" w:color="auto" w:fill="FFFFFF"/>
              </w:rPr>
              <w:t>În scopul îndeplinirii atribuțiilor prevăzute la alin. (2), organismul de conciliere va solicita informaţii relevante de la entităţile care percep tarifele rutiere, de la furnizorii SETRE şi de la orice terţi implicaţi în furnizarea SETRE în România</w:t>
            </w:r>
            <w:r w:rsidR="002E27A4" w:rsidRPr="009B18D9">
              <w:rPr>
                <w:rFonts w:ascii="Times New Roman" w:eastAsia="Times New Roman" w:hAnsi="Times New Roman" w:cs="Times New Roman"/>
                <w:iCs/>
                <w:sz w:val="20"/>
                <w:szCs w:val="20"/>
                <w:shd w:val="clear" w:color="auto" w:fill="FFFFFF"/>
              </w:rPr>
              <w: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Transpune art. 12 alin. (4)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Art. 11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A95D55"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A95D55">
              <w:rPr>
                <w:rFonts w:ascii="Times New Roman" w:eastAsia="Times New Roman" w:hAnsi="Times New Roman" w:cs="Times New Roman"/>
                <w:iCs/>
                <w:sz w:val="20"/>
                <w:szCs w:val="20"/>
                <w:shd w:val="clear" w:color="auto" w:fill="FFFFFF"/>
              </w:rPr>
              <w:t>Organismul de conciliere trebuie să verifice și să comunice părților interesate, în termen de o lună de la primirea unei solicitări de intervenţie, dacă toate documentele necesare medierii se află în posesia sa și să se pronunțe cu privire la orice litigiu în termen de cel mult şase luni de la solicitarea intervenţiei.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Transpune art. 12 alin. (2) si alin. (3)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Cs/>
                <w:sz w:val="20"/>
                <w:szCs w:val="20"/>
              </w:rPr>
            </w:pPr>
            <w:r w:rsidRPr="009B18D9">
              <w:rPr>
                <w:rFonts w:ascii="Times New Roman" w:eastAsia="Times New Roman" w:hAnsi="Times New Roman" w:cs="Times New Roman"/>
                <w:iCs/>
                <w:sz w:val="20"/>
                <w:szCs w:val="20"/>
              </w:rPr>
              <w:t>Art. 11 (5)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Calibri" w:hAnsi="Times New Roman" w:cs="Times New Roman"/>
                <w:iCs/>
                <w:sz w:val="20"/>
                <w:szCs w:val="20"/>
              </w:rPr>
              <w:t>În termen de 90 de zile de la data desemnării/instituirii, organismul de conciliere va elabora o procedură de mediere care se aprobă prin ordin al ministrului transporturilor și infrastructurii.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iCs/>
                <w:sz w:val="20"/>
                <w:szCs w:val="20"/>
                <w:highlight w:val="green"/>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Art.12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b/>
                <w:sz w:val="20"/>
                <w:szCs w:val="20"/>
                <w:shd w:val="clear" w:color="auto" w:fill="FFFFFF"/>
              </w:rPr>
              <w:t>Procedura de mediere</w:t>
            </w:r>
            <w:r w:rsidRPr="009B18D9">
              <w:rPr>
                <w:rFonts w:ascii="Times New Roman" w:eastAsia="Times New Roman" w:hAnsi="Times New Roman" w:cs="Times New Roman"/>
                <w:sz w:val="20"/>
                <w:szCs w:val="20"/>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 xml:space="preserve"> (1)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Fiecare stat membru cu cel puţin un domeniu SETRE prevede o procedură de mediere pentru a permite unei entităţi care percepe taxele rutiere sau unui furnizor SETRE să solicite organismului de conciliere competent să intervină în orice litigiu referitor la relaţiile sau negocierile lor contractuale.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
                <w:i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i/>
                <w:iCs/>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Transpus prin art 11 alin. (2) lit. c) din proiectul de Ordonanta</w:t>
            </w:r>
          </w:p>
        </w:tc>
      </w:tr>
      <w:tr w:rsidR="009B18D9" w:rsidRPr="009B18D9" w:rsidTr="008E68B2">
        <w:trPr>
          <w:gridAfter w:val="1"/>
          <w:wAfter w:w="7" w:type="dxa"/>
          <w:trHeight w:val="899"/>
        </w:trPr>
        <w:tc>
          <w:tcPr>
            <w:tcW w:w="1075" w:type="dxa"/>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Procedura de mediere menţionată la alineatul (1) trebuie să impună ca organismul de conciliere să declare, în termen de o lună de la primirea unei solicitări de intervenţie, dacă toate documentele necesare medierii se află în posesia sa.</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i/>
                <w:iCs/>
                <w:sz w:val="20"/>
                <w:szCs w:val="20"/>
              </w:rPr>
            </w:pPr>
          </w:p>
        </w:tc>
        <w:tc>
          <w:tcPr>
            <w:tcW w:w="4819" w:type="dxa"/>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i/>
                <w:iCs/>
                <w:sz w:val="20"/>
                <w:szCs w:val="20"/>
              </w:rPr>
            </w:pP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11 alin. (4) din proiectul de Ordonanta</w:t>
            </w:r>
          </w:p>
        </w:tc>
      </w:tr>
      <w:tr w:rsidR="009B18D9" w:rsidRPr="009B18D9" w:rsidTr="008E68B2">
        <w:trPr>
          <w:gridAfter w:val="1"/>
          <w:wAfter w:w="7" w:type="dxa"/>
          <w:trHeight w:val="597"/>
        </w:trPr>
        <w:tc>
          <w:tcPr>
            <w:tcW w:w="1075" w:type="dxa"/>
            <w:vMerge w:val="restart"/>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vMerge w:val="restart"/>
            <w:tcBorders>
              <w:top w:val="single" w:sz="4" w:space="0" w:color="000000"/>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Procedura de mediere menţionată la alineatul (1) trebuie să impună ca organismul de conciliere să se pronunţe cu privire la un litigiu în termen de cel mult şase luni de la solicitarea intervenţiei.</w:t>
            </w:r>
          </w:p>
        </w:tc>
        <w:tc>
          <w:tcPr>
            <w:tcW w:w="1134" w:type="dxa"/>
            <w:vMerge w:val="restart"/>
            <w:tcBorders>
              <w:top w:val="single" w:sz="4" w:space="0" w:color="auto"/>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4819" w:type="dxa"/>
            <w:vMerge w:val="restart"/>
            <w:tcBorders>
              <w:top w:val="single" w:sz="4" w:space="0" w:color="auto"/>
              <w:left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000000"/>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Transpus prin art 11 alin. (4) din proiectul de Ordonanta</w:t>
            </w:r>
          </w:p>
        </w:tc>
      </w:tr>
      <w:tr w:rsidR="009B18D9" w:rsidRPr="009B18D9" w:rsidTr="008E68B2">
        <w:trPr>
          <w:gridAfter w:val="1"/>
          <w:wAfter w:w="7" w:type="dxa"/>
          <w:trHeight w:val="363"/>
        </w:trPr>
        <w:tc>
          <w:tcPr>
            <w:tcW w:w="1075"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4819" w:type="dxa"/>
            <w:vMerge/>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Cs/>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Pentru a-l sprijini în îndeplinirea sarcinilor, statele membre conferă organismului de conciliere competenţa să solicite informaţii relevante de la entităţile care percep taxele rutiere, </w:t>
            </w:r>
            <w:r w:rsidRPr="009B18D9">
              <w:rPr>
                <w:rFonts w:ascii="Times New Roman" w:eastAsia="Times New Roman" w:hAnsi="Times New Roman" w:cs="Times New Roman"/>
                <w:sz w:val="20"/>
                <w:szCs w:val="20"/>
                <w:shd w:val="clear" w:color="auto" w:fill="FFFFFF"/>
              </w:rPr>
              <w:lastRenderedPageBreak/>
              <w:t>de la furnizorii SETRE şi de la orice terţi implicaţi în furnizarea SETRE în statul membru în cauză.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8A61AE"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Transpus prin art 11 alin. (3)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cu cel puţin un domeniu SETRE şi Comisia iau măsurile necesare pentru a asigura schimbul de informaţii între organismele de conciliere referitoare la activitatea lor, la principiile lor directoare şi la practicile pe care le utilizează.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D9065E" w:rsidP="00D87DEC">
            <w:pPr>
              <w:widowControl w:val="0"/>
              <w:spacing w:after="0" w:line="240" w:lineRule="auto"/>
              <w:jc w:val="center"/>
              <w:rPr>
                <w:rFonts w:ascii="Times New Roman" w:eastAsia="Calibri" w:hAnsi="Times New Roman" w:cs="Times New Roman"/>
                <w:iCs/>
                <w:sz w:val="20"/>
                <w:szCs w:val="20"/>
              </w:rPr>
            </w:pPr>
            <w:r w:rsidRPr="009B18D9">
              <w:rPr>
                <w:rFonts w:ascii="Times New Roman" w:eastAsia="Calibri" w:hAnsi="Times New Roman" w:cs="Times New Roman"/>
                <w:sz w:val="20"/>
                <w:szCs w:val="20"/>
              </w:rPr>
              <w:t>Transpus prin art 11 alin. (2) lit. d) din proiectul de Ordonanta</w:t>
            </w:r>
          </w:p>
        </w:tc>
      </w:tr>
      <w:tr w:rsidR="009B18D9" w:rsidRPr="009B18D9" w:rsidTr="008E68B2">
        <w:trPr>
          <w:gridAfter w:val="1"/>
          <w:wAfter w:w="7" w:type="dxa"/>
          <w:trHeight w:val="7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IV:</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DISPOZIŢII TEHNICE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13:</w:t>
            </w:r>
          </w:p>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Serviciu unic permanent</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b/>
                <w:i/>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b/>
                <w:i/>
                <w:sz w:val="20"/>
                <w:szCs w:val="20"/>
              </w:rPr>
            </w:pP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iau măsurile necesare pentru a se asigura că SETRE este furnizat utilizatorilor SETRE ca serviciu unic permanent. Aceasta înseamnă că: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Calibri" w:hAnsi="Times New Roman" w:cs="Times New Roman"/>
                <w:sz w:val="20"/>
                <w:szCs w:val="20"/>
              </w:rPr>
              <w:t xml:space="preserve">Art.12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SETRE este furnizat utilizatorilor SETRE ca serviciu unic permanent. Aceasta înseamnă că:</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după ce parametrii de clasificare a vehiculului, inclusiv cei variabili, au fost stocaţi, declaraţi, sau ambele, nu mai este necesară nicio intervenţie umană în interiorul vehiculului pe perioada unei deplasări, exceptând cazul în care intervine o modificare a caracteristicilor vehiculului; şi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după ce parametrii de clasificare a vehiculului, inclusiv cei variabili, au fost stocaţi, declaraţi, sau ambele, nu mai este necesară nicio intervenţie umană asupra OBE, exceptând cazul în care intervine o modificare a caracteristicilor vehiculului;</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interacţiunea umană cu o anumită piesă a OBE rămâne aceeaşi, indiferent de domeniul SETRE.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indiferent de domeniul SETRE, interacţiunea umană cu OBE rămâne aceeaşi.</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14:</w:t>
            </w:r>
          </w:p>
        </w:tc>
        <w:tc>
          <w:tcPr>
            <w:tcW w:w="524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Elemente suplimentare privind SETRE</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iau măsurile necesare pentru a se asigura că interacţiunea dintre utilizatorii SETRE şi entităţile care percep taxele rutiere în cadrul SETRE este limitată, după caz, la procesul de facturare în conformitate cu articolul 6 alineatul (4) şi la procesul de asigurare a aplicării normelor.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Art.13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Interacţiunea dintre utilizatorii SETRE şi entităţile care percep tarifele rutiere în cadrul SETRE este limitată, după caz, la procesul de facturare în conformitate cu art. 6 lit. g) şi la procesul de asigurare a aplicării legislației.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rPr>
                <w:rFonts w:ascii="Times New Roman" w:eastAsia="Calibri" w:hAnsi="Times New Roman" w:cs="Times New Roman"/>
                <w:i/>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Interacţiunile dintre utilizatorii SETRE şi furnizorii SETRE, sau OBE ale acestora, pot fi specifice pentru fiecare furnizor SETRE, fără a compromite interoperabilitatea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Art.13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Interacţiunile dintre utilizatorii SETRE şi furnizorii SETRE sau OBE ale acestora pot fi specifice pentru fiecare furnizor SETRE, cu condiția să nu compromită interoperabilitatea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pot obliga furnizorii de servicii de taxare rutieră, inclusiv furnizorii SETRE, să prezinte, la cererea autorităţilor statelor membre, date privind traficul referitoare la clienţii lor, cu condiţia să fie respectate normele aplicabile în materie de protecţie a datelor. Aceste date pot fi folosite de statele membre numai pentru politicile legate de trafic şi pentru îmbunătăţirea gestionării traficului şi nu pot fi folosite pentru identificarea clienţilor.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i/>
                <w:sz w:val="20"/>
                <w:szCs w:val="20"/>
              </w:rPr>
            </w:pPr>
            <w:r w:rsidRPr="009B18D9">
              <w:rPr>
                <w:rFonts w:ascii="Times New Roman" w:eastAsia="Calibri" w:hAnsi="Times New Roman" w:cs="Times New Roman"/>
                <w:sz w:val="20"/>
                <w:szCs w:val="20"/>
              </w:rPr>
              <w:t>Transpus prin art 5 alin. (1) lit. r)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Comisia adoptă, până la 19 octombrie 2019, acte de punere în aplicare care stabilesc specificaţiile interfeţelor electronice dintre elementele constitutive de interoperabilitate ale entităţilor care percep taxele rutiere, ale furnizorilor SETRE şi ale utilizatorilor SETRE, inclusiv, acolo unde este cazul, cu privire la conţinutul mesajelor transmise între cei implicaţi prin intermediul acestor interfeţe.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Respectivele acte de punere în aplicare se adoptă în </w:t>
            </w:r>
            <w:r w:rsidRPr="009B18D9">
              <w:rPr>
                <w:rFonts w:ascii="Times New Roman" w:eastAsia="Times New Roman" w:hAnsi="Times New Roman" w:cs="Times New Roman"/>
                <w:sz w:val="20"/>
                <w:szCs w:val="20"/>
                <w:shd w:val="clear" w:color="auto" w:fill="FFFFFF"/>
              </w:rPr>
              <w:lastRenderedPageBreak/>
              <w:t>conformitate cu procedura de examinare menţionată la articolul 31 alineatul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5539D0"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Elementele constitutive de interoperabilitate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b/>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23F7" w:rsidRPr="009B18D9" w:rsidRDefault="000023F7"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23F7" w:rsidRPr="009B18D9" w:rsidRDefault="000023F7" w:rsidP="00D87DEC">
            <w:pPr>
              <w:widowControl w:val="0"/>
              <w:spacing w:after="0" w:line="240" w:lineRule="auto"/>
              <w:jc w:val="both"/>
              <w:rPr>
                <w:rFonts w:ascii="Times New Roman" w:hAnsi="Times New Roman" w:cs="Times New Roman"/>
                <w:sz w:val="20"/>
                <w:szCs w:val="20"/>
              </w:rPr>
            </w:pPr>
            <w:bookmarkStart w:id="7" w:name="_Hlk62642046"/>
            <w:r w:rsidRPr="009B18D9">
              <w:rPr>
                <w:rFonts w:ascii="Times New Roman" w:eastAsia="Times New Roman" w:hAnsi="Times New Roman" w:cs="Times New Roman"/>
                <w:sz w:val="20"/>
                <w:szCs w:val="20"/>
                <w:shd w:val="clear" w:color="auto" w:fill="FFFFFF"/>
              </w:rPr>
              <w:t>În cazul în care pe teritoriul unui stat membru este creat un nou sistem de taxare rutieră electronică, statul membru respectiv ia măsurile necesare pentru a se asigura că entitatea desemnată pentru a percepe taxele rutiere responsabilă de sistem stabileşte şi publică în declaraţia privind domeniul SETRE planificarea detaliată a procesului de evaluare a conformităţii cu specificaţiile şi a caracterului adecvat pentru utilizare al elementelor constitutive de interoperabilitate, care permite acreditarea furnizorilor SETRE interesaţi cel târziu cu o lună înainte de lansarea operaţională a noului sistem.</w:t>
            </w:r>
            <w:bookmarkEnd w:id="7"/>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23F7" w:rsidRPr="009B18D9" w:rsidRDefault="000023F7"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23F7" w:rsidRPr="009B18D9" w:rsidRDefault="000023F7"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23F7" w:rsidRPr="009B18D9" w:rsidRDefault="000023F7"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sz w:val="20"/>
                <w:szCs w:val="20"/>
              </w:rPr>
              <w:t xml:space="preserve">Transpus prin art 11 alin. </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lit. c)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A092B"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În cazul în care un sistem de taxare rutieră electronică de pe teritoriul unui stat membru este modificat în mod substanţial, respectivul stat membru ia măsurile necesare pentru a se asigura că entitatea care percepe taxele rutiere responsabilă de sistem stabileşte şi publică în declaraţia privind domeniul SETRE, în plus faţă de elementele menţionate la primul paragraf, planificarea detaliată a reevaluării conformităţii cu specificaţiile şi a caracterului adecvat pentru utilizare al elementelor constitutive de interoperabilitate ale furnizorilor SETRE deja acreditaţi în sistem înainte de modificarea substanţială a sistemului. </w:t>
            </w:r>
          </w:p>
          <w:p w:rsidR="00DA092B" w:rsidRPr="009B18D9" w:rsidRDefault="00DA092B"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Planificarea permite reacreditarea furnizorilor SETRE în cauză cel târziu cu o lună înainte de lansarea operaţională a sistemului modificat.</w:t>
            </w:r>
          </w:p>
          <w:p w:rsidR="002E27A4" w:rsidRPr="009B18D9" w:rsidRDefault="00DA092B"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Entitatea care percepe taxele rutiere este obligată să respecte partea sa din această planificare.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0023F7"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Transpus prin art 11 alin. </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lit. d) din proiectul de Ordonanta </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iau măsurile necesare pentru a se asigura că fiecare entitate care percepe taxele rutiere responsabilă de un domeniu SETRE pe teritoriul lor creează un mediu de testare în care furnizorul SETRE sau reprezentanţii săi autorizaţi pot să verifice dacă OBE al furnizorului respectiv este adecvat pentru utilizarea în domeniul SETRE al entităţii care percepe taxele rutiere şi să obţină o certificare privind finalizarea cu succes a testelor respective. </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Art.14 (1)</w:t>
            </w:r>
          </w:p>
        </w:tc>
        <w:tc>
          <w:tcPr>
            <w:tcW w:w="481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Entităţile prevazute la art. 6 au obligația de a crea un mediu de testare în care furnizorul SETRE sau reprezentanţii săi autorizaţi pot verifica dacă OBE este adecvat pentru utilizare în domeniul SETRE al acestora şi pot obţine o certificare privind finalizarea cu succes a testelor respective.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iau măsurile necesare pentru a permite entităţilor care percep taxele rutiere să instituie un mediu de testare unic pentru mai multe domenii SETRE şi pentru a permite unui singur reprezentant autorizat să verifice caracterul adecvat pentru utilizare al unui singur tip de OBE în numele mai multor furnizori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Art.14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Entităţile prevazute la art. 6 pot să instituie un mediu de testare unic pentru mai multe domenii SETRE pentru a permite unui singur reprezentant autorizat să verifice caracterul adecvat pentru utilizare al unui singur tip de OBE în numele mai multor furnizori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iau măsurile necesare pentru a permite </w:t>
            </w:r>
            <w:r w:rsidRPr="009B18D9">
              <w:rPr>
                <w:rFonts w:ascii="Times New Roman" w:eastAsia="Times New Roman" w:hAnsi="Times New Roman" w:cs="Times New Roman"/>
                <w:sz w:val="20"/>
                <w:szCs w:val="20"/>
                <w:shd w:val="clear" w:color="auto" w:fill="FFFFFF"/>
              </w:rPr>
              <w:lastRenderedPageBreak/>
              <w:t>entităţilor care percep taxele rutiere să oblige furnizorii SETRE sau reprezentanţii autorizaţi ai acestora să suporte costul testelor respective.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Art.14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Costul testelor prevazute la alin. (1) și alin. (2) este </w:t>
            </w:r>
            <w:r w:rsidRPr="009B18D9">
              <w:rPr>
                <w:rFonts w:ascii="Times New Roman" w:eastAsia="Times New Roman" w:hAnsi="Times New Roman" w:cs="Times New Roman"/>
                <w:sz w:val="20"/>
                <w:szCs w:val="20"/>
                <w:shd w:val="clear" w:color="auto" w:fill="FFFFFF"/>
              </w:rPr>
              <w:lastRenderedPageBreak/>
              <w:t>suportat de furnizorii SETRE interesați sau de către reprezentanţii autorizaţi ai acestora.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nu interzic, restricţionează sau împiedică introducerea pe piaţă a elementelor constitutive de interoperabilitate pentru utilizarea în cadrul SETRE dacă acestea poartă marcajul CE sau sunt însoţite de o declaraţie de conformitate cu specificaţiile sau o declaraţie privind caracterul adecvat pentru utilizare, sau ambele. </w:t>
            </w:r>
            <w:r w:rsidR="003D5108" w:rsidRPr="009B18D9">
              <w:rPr>
                <w:rFonts w:ascii="Times New Roman" w:eastAsia="Times New Roman" w:hAnsi="Times New Roman" w:cs="Times New Roman"/>
                <w:sz w:val="20"/>
                <w:szCs w:val="20"/>
                <w:shd w:val="clear" w:color="auto" w:fill="FFFFFF"/>
              </w:rPr>
              <w:t>Mai precis, statele membre nu solicită verificări care au fost deja efectuate ca parte a procedurii de verificare a conformităţii cu specificaţiile sau a caracterului adecvat pentru utilizare, sau ambele.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3D5108"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 xml:space="preserve">Transpus prin art 15 alin. </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1</w:t>
            </w:r>
            <w:r w:rsidR="006F5765" w:rsidRPr="009B18D9">
              <w:rPr>
                <w:rFonts w:ascii="Times New Roman" w:eastAsia="Calibri" w:hAnsi="Times New Roman" w:cs="Times New Roman"/>
                <w:sz w:val="20"/>
                <w:szCs w:val="20"/>
              </w:rPr>
              <w:t>)</w:t>
            </w:r>
            <w:r w:rsidRPr="009B18D9">
              <w:rPr>
                <w:rFonts w:ascii="Times New Roman" w:eastAsia="Calibri" w:hAnsi="Times New Roman" w:cs="Times New Roman"/>
                <w:sz w:val="20"/>
                <w:szCs w:val="20"/>
              </w:rPr>
              <w:t xml:space="preserve">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highlight w:val="gree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Art.14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Pentru a permite dezvoltarea din punct de vedere tehnic a SETRE, entitățile prevăzute la art. 6 pot autoriza temporar, în zone limitate ale domeniului lor de tarifare rutieră, în paralel cu sistemul care este conform SETRE, sisteme-pilot de tarifare care includ concepte sau tehnologii noi care nu sunt conforme cu una sau mai multe prevederi ale prezentei ordonanțe.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DA092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22 alin. (1) din Directiva </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highlight w:val="gree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Art.14 (5)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Entitățile prevăzute la alin. (4) nu obligă furnizorii autorizați sau care solicită autorizarea, să participe la aceste sisteme-pilot de tarifare rutieră.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DA092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22 alin. (2) din Directiva </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highlight w:val="gree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Art.14 (6)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Înainte de a demara măsurile pentru implementarea unui sistem - pilot de tarifare rutieră, entitățile prevăzute la alin. (4) trebuie să solicite și să obțină autorizarea de la Comisia Europeană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1A0B3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Transpune art. 22 alin. (3) din Directiva </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Comisia adoptă acte delegate în conformitate cu articolul 30, până la 19 octombrie 2019, pentru a stabili cerinţele faţă de elementele constitutive de interoperabilitate în ceea ce priveşte siguranţa şi sănătatea, fiabilitatea şi disponibilitatea, protecţia mediului, compatibilitatea tehnică, securitatea şi protecţia vieţii private, precum şi funcţionarea şi gestiunea.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Comisia adoptă acte delegate în conformitate cu articolul 30, până la 19 octombrie 2019, pentru a stabili cerinţele generale faţă de infrastructură în ceea ce priveşte: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exactitatea datelor din declaraţia privind taxa rutieră, pentru a se garanta egalitatea de tratament a utilizatorilor SETRE în materie de taxe rutiere şi alte taxe;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identificarea, prin intermediul OBE, a furnizorului SETRE responsabil;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utilizarea de standarde deschise pentru elementele constitutive de interoperabilitate ale echipamentului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integrarea OBE în vehicul;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informarea conducătorului auto cu privire la obligaţia de a plăti </w:t>
            </w:r>
            <w:r w:rsidRPr="009B18D9">
              <w:rPr>
                <w:rFonts w:ascii="Times New Roman" w:eastAsia="Calibri" w:hAnsi="Times New Roman" w:cs="Times New Roman"/>
                <w:sz w:val="20"/>
                <w:szCs w:val="20"/>
              </w:rPr>
              <w:lastRenderedPageBreak/>
              <w:t>taxa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Comisia adoptă acte de punere în aplicare, până la 19 octombrie 2019, pentru a stabili următoarele cerinţe specifice faţă de infrastructură: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 privind protocoalele comune de comunicare între echipamentele entităţilor care percep taxele rutiere şi echipamentele furnizorilor SETRE;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 privind mecanismele cu ajutorul cărora entităţile care percep taxele rutiere să determine dacă un vehicul care circulă pe domeniul lor SETRE este dotat cu un OBE valabil şi funcţional;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 privind interfaţa om-echipament în OBE;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 ce se aplică în mod specific elementelor constitutive de interoperabilitate în sistemele de taxare rutieră ce folosesc tehnologii bazate pe microunde;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cerinţe ce se aplică în mod specific sistemelor de taxare rutieră bazate pe sistemul global de navigaţie prin satelit (GNSS).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Respectivele acte de punere în aplicare se adoptă în conformitate cu procedura de examinare menţionată la articolul 31 alineatul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Comisia adoptă acte de punere în aplicare, până la 19 octombrie 2019, pentru a stabili procedura care urmează să fie aplicată de statele membre pentru evaluarea conformităţii cu specificaţiile şi a caracterului adecvat pentru utilizare al elementelor constitutive de interoperabilitate, inclusiv a formatului şi conţinutului declaraţiei CE. Respectivele acte de punere în aplicare se adoptă în conformitate cu procedura de examinare menţionată la articolul 31 alineatul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V:</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CLAUZE DE SALVGARDARE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Procedura de salvgardare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Times New Roman" w:hAnsi="Times New Roman" w:cs="Times New Roman"/>
                <w:sz w:val="20"/>
                <w:szCs w:val="20"/>
                <w:highlight w:val="gree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Times New Roman" w:hAnsi="Times New Roman" w:cs="Times New Roman"/>
                <w:b/>
                <w:sz w:val="20"/>
                <w:szCs w:val="20"/>
                <w:highlight w:val="green"/>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Art.15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Introducerea pe piata a elementelor constitutive de interoperabilitate pentru utilizarea în cadrul SETRE, dacă acestea poartă marcajul CE sau sunt însoţite de o declaraţie de conformitate cu specificaţiile sau o declaraţie privind caracterul adecvat pentru utilizare, sau ambele, nu poate fi interzisă, restricţionată sau împiedicată.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3D5108" w:rsidP="00D87DEC">
            <w:pPr>
              <w:widowControl w:val="0"/>
              <w:spacing w:after="0" w:line="240" w:lineRule="auto"/>
              <w:jc w:val="center"/>
              <w:rPr>
                <w:rFonts w:ascii="Times New Roman" w:eastAsia="Calibri" w:hAnsi="Times New Roman" w:cs="Times New Roman"/>
                <w:sz w:val="20"/>
                <w:szCs w:val="20"/>
                <w:highlight w:val="green"/>
              </w:rPr>
            </w:pPr>
            <w:r w:rsidRPr="009B18D9">
              <w:rPr>
                <w:rFonts w:ascii="Times New Roman" w:eastAsia="Calibri" w:hAnsi="Times New Roman" w:cs="Times New Roman"/>
                <w:sz w:val="20"/>
                <w:szCs w:val="20"/>
              </w:rPr>
              <w:t>Transpune art. 15 alin. (3)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În cazul în care un stat membru are motive să considere că este probabil ca elementele constitutive de interoperabilitate marcate CE şi introduse pe piaţă, când sunt utilizate conform destinaţiei lor, să nu îndeplinească cerinţele aplicabile, acesta trebuie să ia toate măsurile necesare pentru a limita domeniul de aplicare al acestor elemente, pentru a interzice utilizarea acestora sau pentru a le retrage de pe piaţă.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Art.15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În cazul în care entitatea prevazută la art. 6 are indicii să considere că este probabil ca elementele constitutive de interoperabilitate marcate CE şi introduse pe piaţă, când sunt utilizate conform destinaţiei lor, să nu îndeplinească cerinţele aplicabile, aceasta trebuie să ia măsurile necesare pentru a limita domeniul de aplicare al acestor elemente sau, după caz, să notifice autoritățile competente in scopul </w:t>
            </w:r>
            <w:r w:rsidRPr="009B18D9">
              <w:rPr>
                <w:rFonts w:ascii="Times New Roman" w:eastAsia="Times New Roman" w:hAnsi="Times New Roman" w:cs="Times New Roman"/>
                <w:sz w:val="20"/>
                <w:szCs w:val="20"/>
                <w:shd w:val="clear" w:color="auto" w:fill="FFFFFF"/>
              </w:rPr>
              <w:lastRenderedPageBreak/>
              <w:t>interzicerii utilizarii acestora sau pentru a le retrage de pe piaţă.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27A4" w:rsidRPr="009B18D9" w:rsidRDefault="002E27A4" w:rsidP="00D87DEC">
            <w:pPr>
              <w:widowControl w:val="0"/>
              <w:spacing w:after="0" w:line="240" w:lineRule="auto"/>
              <w:jc w:val="center"/>
              <w:rPr>
                <w:rFonts w:ascii="Times New Roman" w:eastAsia="Calibri" w:hAnsi="Times New Roman" w:cs="Times New Roman"/>
                <w:sz w:val="20"/>
                <w:szCs w:val="20"/>
                <w:highlight w:val="green"/>
              </w:rPr>
            </w:pPr>
          </w:p>
        </w:tc>
      </w:tr>
      <w:tr w:rsidR="009B18D9" w:rsidRPr="009B18D9" w:rsidTr="008E68B2">
        <w:trPr>
          <w:gridAfter w:val="1"/>
          <w:wAfter w:w="7" w:type="dxa"/>
          <w:trHeight w:val="79"/>
        </w:trPr>
        <w:tc>
          <w:tcPr>
            <w:tcW w:w="1075" w:type="dxa"/>
            <w:vMerge w:val="restart"/>
            <w:tcBorders>
              <w:top w:val="single" w:sz="4" w:space="0" w:color="000000"/>
              <w:left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Times New Roman" w:hAnsi="Times New Roman" w:cs="Times New Roman"/>
                <w:sz w:val="20"/>
                <w:szCs w:val="20"/>
              </w:rPr>
            </w:pPr>
          </w:p>
        </w:tc>
        <w:tc>
          <w:tcPr>
            <w:tcW w:w="5245" w:type="dxa"/>
            <w:vMerge w:val="restart"/>
            <w:tcBorders>
              <w:top w:val="single" w:sz="4" w:space="0" w:color="000000"/>
              <w:left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Statul membru informează de îndată Comisia cu privire la măsurile luate şi prezintă argumentele care au stat la baza deciziei adoptate, precizând, în special, dacă neconformitatea este determinată de:</w:t>
            </w:r>
          </w:p>
          <w:p w:rsidR="006F5765" w:rsidRPr="009B18D9" w:rsidRDefault="006F5765"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 aplicarea incorectă a specificaţiilor tehnice; sau</w:t>
            </w:r>
          </w:p>
          <w:p w:rsidR="006F5765" w:rsidRPr="009B18D9" w:rsidRDefault="006F5765"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b) inadecvarea specificaţiilor tehnice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Art.15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În cazurile prevăzute la alin (2), entitatea sau autoritatea competenta, după caz, informează Ministerul Transporturilor și Infrastructurii cu privire la măsurile luate, precizând, în special, dacă neconformitatea este determinată de aplicarea incorectă a specificaţiilor tehnice sau de inadecvarea specificaţiilor tehnice.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highlight w:val="green"/>
              </w:rPr>
            </w:pPr>
          </w:p>
        </w:tc>
      </w:tr>
      <w:tr w:rsidR="009B18D9" w:rsidRPr="009B18D9" w:rsidTr="008E68B2">
        <w:trPr>
          <w:gridAfter w:val="1"/>
          <w:wAfter w:w="7" w:type="dxa"/>
          <w:trHeight w:val="79"/>
        </w:trPr>
        <w:tc>
          <w:tcPr>
            <w:tcW w:w="1075" w:type="dxa"/>
            <w:vMerge/>
            <w:tcBorders>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p>
        </w:tc>
        <w:tc>
          <w:tcPr>
            <w:tcW w:w="5245" w:type="dxa"/>
            <w:vMerge/>
            <w:tcBorders>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Art.15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Ministerul Transporturilor și Infrastructurii informează imediat Comisia Europeană cu privire la măsurile luate potrivit alin. (2) şi prezintă argumentele care au stat la baza deciziei adoptate.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Comisia consultă cât mai curând posibil statul membru în cauză, producătorul, furnizorul SETRE sau reprezentanţii lor autorizaţi stabiliţi în Uniune.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0EAB" w:rsidRPr="009B18D9" w:rsidRDefault="00160EA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Atunci când, în urma consultării, Comisia constată că măsura este justificată, aceasta informează de îndată statul membru în cauză, precum şi celelalte state membre.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0EAB" w:rsidRPr="009B18D9" w:rsidRDefault="00160EA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Cu toate acestea, atunci când, în urma consultării, Comisia constată că măsura nu este justificată, aceasta informează de îndată statul membru în cauză, precum şi producătorul sau reprezentantul său autorizat stabilit în Uniune şi celelalte state membre.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0EAB" w:rsidRPr="009B18D9" w:rsidRDefault="00160EAB"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traspunere</w:t>
            </w:r>
          </w:p>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2465"/>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În cazul în care elementele constitutive de interoperabilitate care poartă marcajul CE nu îndeplinesc cerinţele de interoperabilitate, statul membru competent obligă producătorul sau reprezentantul autorizat al acestuia stabilit în Uniune să readucă elementul constitutiv de interoperabilitate la starea de conformitate cu specificaţiile sau la starea de existenţă a unui caracter adecvat pentru utilizare, sau ambele, în condiţiile stabilite de statul membru respectiv, şi informează în acest sens Comisia, precum şi celelalte state membre.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Art.15 (5)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r w:rsidRPr="009B18D9">
              <w:rPr>
                <w:rFonts w:ascii="Times New Roman" w:eastAsia="Times New Roman" w:hAnsi="Times New Roman" w:cs="Times New Roman"/>
                <w:sz w:val="20"/>
                <w:szCs w:val="20"/>
                <w:shd w:val="clear" w:color="auto" w:fill="FFFFFF"/>
              </w:rPr>
              <w:t>În cazul în care elementele constitutive de interoperabilitate care poartă marcajul CE nu îndeplinesc cerinţele de interoperabilitate, Ministerul Transporturilor și Infrastructurii notifică producătorul sau reprezentantul autorizat al acestuia stabilit în Uniunea Europeană cu privire la obligativitatea readucerii elementului constitutiv de interoperabilitate la starea de conformitate cu specificaţiile sau la starea de existenţă a unui caracter adecvat pentru utilizare, sau ambele, în vederea încetării măsurii aplicate conform alin. (2) şi informează în acest sens Comisia Europeană, precum şi celelalte state membre ale Uniunii Europene.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rPr>
                <w:rFonts w:ascii="Times New Roman" w:eastAsia="Calibri" w:hAnsi="Times New Roman" w:cs="Times New Roman"/>
                <w:sz w:val="20"/>
                <w:szCs w:val="20"/>
                <w:highlight w:val="green"/>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Transparenţa evaluărilor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highlight w:val="green"/>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Orice decizie adoptată de un stat membru sau de o entitate care percepe taxele rutiere cu privire la evaluarea conformităţii cu specificaţiile sau a caracterului adecvat pentru utilizare al elementelor constitutive de interoperabilitate şi orice decizie adoptată în conformitate cu articolul 16 specifică în amănunt motivele care au stat la baza adoptării acesteia.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highlight w:val="green"/>
              </w:rPr>
            </w:pPr>
            <w:r w:rsidRPr="009B18D9">
              <w:rPr>
                <w:rFonts w:ascii="Times New Roman" w:eastAsia="Calibri" w:hAnsi="Times New Roman" w:cs="Times New Roman"/>
                <w:sz w:val="20"/>
                <w:szCs w:val="20"/>
              </w:rPr>
              <w:t>Art.15 (6)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highlight w:val="green"/>
              </w:rPr>
            </w:pPr>
            <w:r w:rsidRPr="009B18D9">
              <w:rPr>
                <w:rFonts w:ascii="Times New Roman" w:eastAsia="Times New Roman" w:hAnsi="Times New Roman" w:cs="Times New Roman"/>
                <w:sz w:val="20"/>
                <w:szCs w:val="20"/>
                <w:shd w:val="clear" w:color="auto" w:fill="FFFFFF"/>
              </w:rPr>
              <w:t>Orice decizie adoptată cu privire la evaluarea conformităţii cu specificaţiile sau a caracterului adecvat pentru utilizare al elementelor constitutive de interoperabilitate şi orice decizie adoptată în conformitate cu alin. (2) prevede in detaliu motivele care au stat la baza adoptării acesteia.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highlight w:val="green"/>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Decizia respectivă este notificată cât mai curând posibil producătorului în cauză, furnizorului SETRE sau </w:t>
            </w:r>
            <w:r w:rsidRPr="009B18D9">
              <w:rPr>
                <w:rFonts w:ascii="Times New Roman" w:eastAsia="Times New Roman" w:hAnsi="Times New Roman" w:cs="Times New Roman"/>
                <w:sz w:val="20"/>
                <w:szCs w:val="20"/>
                <w:shd w:val="clear" w:color="auto" w:fill="FFFFFF"/>
              </w:rPr>
              <w:lastRenderedPageBreak/>
              <w:t>reprezentanţilor autorizaţi ai acestora, incluzând o menţiune privind căile de atac disponibile în temeiul legislaţiei în vigoare în statul membru respectiv, precum şi termenele în care respectivele căi de atac pot fi exercitate.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Art.15 (7)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Decizia adoptată este notificată producătorului în cauză, furnizorului SETRE sau reprezentanţilor autorizaţi ai </w:t>
            </w:r>
            <w:r w:rsidRPr="009B18D9">
              <w:rPr>
                <w:rFonts w:ascii="Times New Roman" w:eastAsia="Times New Roman" w:hAnsi="Times New Roman" w:cs="Times New Roman"/>
                <w:sz w:val="20"/>
                <w:szCs w:val="20"/>
                <w:shd w:val="clear" w:color="auto" w:fill="FFFFFF"/>
              </w:rPr>
              <w:lastRenderedPageBreak/>
              <w:t>acestora, și include o menţiune privind căile de atac disponibile în temeiul legislaţiei în vigoare, precum şi termenele în care respectivele căi de atac pot fi exercitate.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VI:</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DISPOZIŢII ADMINISTRATIVE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18:</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Biroul unic de contact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p>
        </w:tc>
        <w:tc>
          <w:tcPr>
            <w:tcW w:w="2909" w:type="dxa"/>
            <w:vMerge w:val="restart"/>
            <w:tcBorders>
              <w:top w:val="single" w:sz="4" w:space="0" w:color="000000"/>
              <w:left w:val="single" w:sz="4" w:space="0" w:color="000000"/>
              <w:right w:val="single" w:sz="4" w:space="0" w:color="000000"/>
            </w:tcBorders>
            <w:shd w:val="clear" w:color="auto" w:fill="FFFFFF" w:themeFill="background1"/>
            <w:vAlign w:val="center"/>
          </w:tcPr>
          <w:p w:rsidR="006F5765" w:rsidRPr="009B18D9" w:rsidRDefault="006F5765" w:rsidP="00D87DEC">
            <w:pPr>
              <w:widowControl w:val="0"/>
              <w:spacing w:after="0" w:line="240" w:lineRule="auto"/>
              <w:jc w:val="center"/>
              <w:rPr>
                <w:rFonts w:ascii="Times New Roman"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Fiecare stat membru cu cel puţin două domenii SETRE pe teritoriul său desemnează un birou unic de contact pentru furnizorii SETRE. Statul membru publică datele de contact ale acestui birou şi le pune la dispoziţia furnizorilor SETRE interesaţi, la cerere.</w:t>
            </w:r>
            <w:r w:rsidR="00160EAB"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sz w:val="20"/>
                <w:szCs w:val="20"/>
                <w:shd w:val="clear" w:color="auto" w:fill="FFFFFF"/>
              </w:rPr>
              <w:t>Statul membru ia măsurile necesare pentru a se asigura că, la cererea furnizorului SETRE, biroul de contact facilitează şi coordonează stabilirea de contacte administrative timpurii între furnizorul SETRE şi entităţile care percep taxele rutiere şi care sunt responsabile de domeniile SETRE de pe teritoriul statului membru. Biroul de contact poate fi o persoană fizică sau un organism public sau privat.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Art.16</w:t>
            </w:r>
          </w:p>
        </w:tc>
        <w:tc>
          <w:tcPr>
            <w:tcW w:w="4819" w:type="dxa"/>
            <w:tcBorders>
              <w:top w:val="single" w:sz="4" w:space="0" w:color="000000"/>
              <w:left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bookmarkStart w:id="8" w:name="_Hlk67577633"/>
            <w:bookmarkStart w:id="9" w:name="_Hlk72747716"/>
            <w:r w:rsidRPr="009B18D9">
              <w:rPr>
                <w:rFonts w:ascii="Times New Roman" w:eastAsia="Times New Roman" w:hAnsi="Times New Roman" w:cs="Times New Roman"/>
                <w:iCs/>
                <w:sz w:val="20"/>
                <w:szCs w:val="20"/>
                <w:shd w:val="clear" w:color="auto" w:fill="FFFFFF"/>
              </w:rPr>
              <w:t xml:space="preserve">In conditiile definirii a cel putin doua domenii SETRE in Romania, </w:t>
            </w:r>
            <w:r w:rsidRPr="009B18D9">
              <w:rPr>
                <w:rFonts w:ascii="Times New Roman" w:hAnsi="Times New Roman" w:cs="Times New Roman"/>
                <w:sz w:val="20"/>
                <w:szCs w:val="20"/>
                <w:lang w:val="ro-RO"/>
              </w:rPr>
              <w:t xml:space="preserve">ICI București </w:t>
            </w:r>
            <w:r w:rsidRPr="009B18D9">
              <w:rPr>
                <w:rFonts w:ascii="Times New Roman" w:eastAsia="Times New Roman" w:hAnsi="Times New Roman" w:cs="Times New Roman"/>
                <w:iCs/>
                <w:sz w:val="20"/>
                <w:szCs w:val="20"/>
                <w:shd w:val="clear" w:color="auto" w:fill="FFFFFF"/>
              </w:rPr>
              <w:t xml:space="preserve">va operationaliza o platforma informatica cu rol de birou unic de contact pentru furnizorii SETRE, prin intermediul careia </w:t>
            </w:r>
            <w:r w:rsidRPr="009B18D9">
              <w:rPr>
                <w:rFonts w:ascii="Times New Roman" w:eastAsia="Times New Roman" w:hAnsi="Times New Roman" w:cs="Times New Roman"/>
                <w:sz w:val="20"/>
                <w:szCs w:val="20"/>
                <w:shd w:val="clear" w:color="auto" w:fill="FFFFFF"/>
              </w:rPr>
              <w:t xml:space="preserve">furnizori SETRE interesati pot obtine informatii privind </w:t>
            </w:r>
            <w:r w:rsidRPr="009B18D9">
              <w:rPr>
                <w:rFonts w:ascii="Times New Roman" w:hAnsi="Times New Roman" w:cs="Times New Roman"/>
                <w:sz w:val="20"/>
                <w:szCs w:val="20"/>
              </w:rPr>
              <w:t>entităţile din Romania care percep tarife rutiere</w:t>
            </w:r>
            <w:r w:rsidRPr="009B18D9">
              <w:rPr>
                <w:rFonts w:ascii="Times New Roman" w:eastAsia="Times New Roman" w:hAnsi="Times New Roman" w:cs="Times New Roman"/>
                <w:sz w:val="20"/>
                <w:szCs w:val="20"/>
                <w:shd w:val="clear" w:color="auto" w:fill="FFFFFF"/>
              </w:rPr>
              <w:t xml:space="preserve"> in vederea stabilirii de contacte administrative cu</w:t>
            </w:r>
            <w:bookmarkEnd w:id="8"/>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iCs/>
                <w:sz w:val="20"/>
                <w:szCs w:val="20"/>
                <w:shd w:val="clear" w:color="auto" w:fill="FFFFFF"/>
              </w:rPr>
              <w:t>acestea</w:t>
            </w:r>
            <w:bookmarkEnd w:id="9"/>
          </w:p>
        </w:tc>
        <w:tc>
          <w:tcPr>
            <w:tcW w:w="2909" w:type="dxa"/>
            <w:vMerge/>
            <w:tcBorders>
              <w:left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19:</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Organismele notificate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hAnsi="Times New Roman" w:cs="Times New Roman"/>
                <w:sz w:val="20"/>
                <w:szCs w:val="20"/>
                <w:highlight w:val="yellow"/>
              </w:rPr>
            </w:pPr>
            <w:r w:rsidRPr="009B18D9">
              <w:rPr>
                <w:rStyle w:val="tpa1"/>
                <w:rFonts w:ascii="Times New Roman" w:hAnsi="Times New Roman" w:cs="Times New Roman"/>
                <w:sz w:val="20"/>
                <w:szCs w:val="20"/>
              </w:rPr>
              <w:t>Ministerul Transporturilor și Infrastructurii desemnează organismele autorizate să aplice sau să supravegheze procedura de evaluare a conformităţii cu specificaţiile sau a caracterului adecvat pentru utilizare.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A63C91" w:rsidP="00D87DEC">
            <w:pPr>
              <w:spacing w:after="0"/>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6F5765" w:rsidP="00D87DEC">
            <w:pPr>
              <w:widowControl w:val="0"/>
              <w:spacing w:after="0" w:line="240" w:lineRule="auto"/>
              <w:jc w:val="both"/>
              <w:rPr>
                <w:rStyle w:val="tpa1"/>
                <w:rFonts w:ascii="Times New Roman" w:hAnsi="Times New Roman" w:cs="Times New Roman"/>
                <w:sz w:val="20"/>
                <w:szCs w:val="20"/>
                <w:highlight w:val="yellow"/>
              </w:rPr>
            </w:pPr>
            <w:r w:rsidRPr="009B18D9">
              <w:rPr>
                <w:rFonts w:ascii="Times New Roman" w:eastAsia="Calibri" w:hAnsi="Times New Roman" w:cs="Times New Roman"/>
                <w:sz w:val="20"/>
                <w:szCs w:val="20"/>
              </w:rPr>
              <w:t>Atestarea îndeplinirii criteriilor de eligibilitate, în conformitate cu prevederile art. 5 din 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se face prin acreditare de către organismul naţional de acreditare.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5765" w:rsidRPr="009B18D9" w:rsidRDefault="00A63C91" w:rsidP="00D87DEC">
            <w:pPr>
              <w:spacing w:after="0"/>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Transpune art. 19 alin. (2)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transmit o înştiinţare Comisiei şi celorlalte state membre cu privire la organismele autorizate să aplice sau să supravegheze procedura de evaluare a conformităţii cu specificaţiile sau a caracterului adecvat pentru utilizare menţionată în actele de punere în aplicare menţionate la articolul 15 alineatul (7), indicând domeniul de competenţă al fiecărui organism şi numerele de identificare obţinute în prealabil de la Comisie.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Style w:val="tpa1"/>
                <w:rFonts w:ascii="Times New Roman" w:hAnsi="Times New Roman" w:cs="Times New Roman"/>
                <w:sz w:val="20"/>
                <w:szCs w:val="20"/>
                <w:highlight w:val="yellow"/>
              </w:rPr>
            </w:pPr>
            <w:r w:rsidRPr="009B18D9">
              <w:rPr>
                <w:rFonts w:ascii="Times New Roman" w:eastAsia="Calibri" w:hAnsi="Times New Roman" w:cs="Times New Roman"/>
                <w:sz w:val="20"/>
                <w:szCs w:val="20"/>
              </w:rPr>
              <w:t>Ministerul Transporturilor și Infrastructurii notifică Comisiei Europene şi celorlalte state membre ale Uniunii Europene organismele de evaluare a conformităţii cu specificaţiile sau a caracterului adecvat pentru utilizare pe care le desemnează, indicând domeniul de competenţă al fiecărui organism şi numerele de identificare obţinute în prealabil de la Comisia Europeană.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spacing w:after="0"/>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Style w:val="tpa1"/>
                <w:rFonts w:ascii="Times New Roman" w:hAnsi="Times New Roman" w:cs="Times New Roman"/>
                <w:sz w:val="20"/>
                <w:szCs w:val="20"/>
                <w:highlight w:val="yellow"/>
              </w:rPr>
            </w:pPr>
            <w:r w:rsidRPr="009B18D9">
              <w:rPr>
                <w:rStyle w:val="tal1"/>
                <w:rFonts w:ascii="Times New Roman" w:hAnsi="Times New Roman" w:cs="Times New Roman"/>
                <w:sz w:val="20"/>
                <w:szCs w:val="20"/>
              </w:rPr>
              <w:t>Monitorizarea îndeplinirii, în mod permanent, a cerinţelor şi criteriilor care au stat la baza deciziei privind desemnarea organismelor notificate se realizează de către organismul naţional de acreditare, potrivit procedurilor acestuia.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A63C91" w:rsidP="00D87DEC">
            <w:pPr>
              <w:spacing w:after="0"/>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Comisia publică în Jurnalul Oficial al Uniunii Europene lista organismelor, numerele de identificare şi domeniile de competenţă ale acestora şi ţine această listă actualizată.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highlight w:val="yellow"/>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highlight w:val="yellow"/>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3C91"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aplică criteriile prevăzute în actele delegate menţionate la alineatul (5) din prezentul articol pentru evaluarea organismelor care urmează a fi notificate.</w:t>
            </w:r>
          </w:p>
          <w:p w:rsidR="008F63D3" w:rsidRPr="009B18D9" w:rsidRDefault="00A63C91"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Se consideră că organismele care îndeplinesc criteriile de evaluare prevăzute în standardele europene aplicabile îndeplinesc criteriile menţionate.</w:t>
            </w:r>
            <w:r w:rsidR="008F63D3" w:rsidRPr="009B18D9">
              <w:rPr>
                <w:rFonts w:ascii="Times New Roman" w:eastAsia="Times New Roman" w:hAnsi="Times New Roman" w:cs="Times New Roman"/>
                <w:sz w:val="20"/>
                <w:szCs w:val="20"/>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trike/>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trike/>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A63C91"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17 alin. (3)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Un stat membru retrage aprobarea acordată unui organism care nu mai îndeplineşte criteriile prevăzute în actele delegate menţionate la alineatul (5) din prezentul articol. Statul membru informează imediat Comisia şi celelalte state membre cu privire la aceasta.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highlight w:val="yellow"/>
              </w:rPr>
            </w:pPr>
            <w:r w:rsidRPr="009B18D9">
              <w:rPr>
                <w:rFonts w:ascii="Times New Roman" w:eastAsia="Times New Roman" w:hAnsi="Times New Roman" w:cs="Times New Roman"/>
                <w:sz w:val="20"/>
                <w:szCs w:val="20"/>
                <w:shd w:val="clear" w:color="auto" w:fill="FFFFFF"/>
              </w:rPr>
              <w:t>În cazul în care un organism notificat nu mai îndeplineşte criteriile care au stat la baza desemnării acestuia, Ministerul Transporturilor și Infrastructurii retrage aprobarea acordată și informează imediat Comisia Europeană şi celelalte state membre ale Uniunii Europene cu privire la aceasta.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În cazul în care un stat membru sau Comisia consideră că un organism notificat de un alt stat membru nu îndeplineşte criteriile prevăzute în actele delegate menţionate la alineatul (5) din prezentul articol, acest lucru este adus la cunoştinţa Comitetului pentru taxarea rutieră electronică menţionat la articolul 31 alineatul (1), care emite un aviz în termen de trei luni.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highlight w:val="yellow"/>
              </w:rPr>
            </w:pPr>
            <w:r w:rsidRPr="009B18D9">
              <w:rPr>
                <w:rFonts w:ascii="Times New Roman" w:eastAsia="Calibri" w:hAnsi="Times New Roman" w:cs="Times New Roman"/>
                <w:sz w:val="20"/>
                <w:szCs w:val="20"/>
              </w:rPr>
              <w:t>Art.17 (6)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r w:rsidRPr="009B18D9">
              <w:rPr>
                <w:rFonts w:ascii="Times New Roman" w:eastAsia="Times New Roman" w:hAnsi="Times New Roman" w:cs="Times New Roman"/>
                <w:sz w:val="20"/>
                <w:szCs w:val="20"/>
                <w:shd w:val="clear" w:color="auto" w:fill="FFFFFF"/>
              </w:rPr>
              <w:t>În cazul în care un stat membru al Uniunii Europene, altul decât România, sau Comisia Europeană consideră că un organism notificat de Ministerul Transporturilor și Infrastructurii nu îndeplineşte criteriile prevăzute în 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aduce acest lucru la cunoştinţa Comitetului pentru taxarea rutieră electronică care asistă Comisia Europeană, care emite un aviz în termen de trei luni.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i/>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Pe baza avizului comitetului menţionat, Comisia informează statul membru care a efectuat notificarea privind organismul în cauză cu privire la modificările necesare pentru ca organismul notificat să îşi păstreze statutul care i-a fost conferit.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r w:rsidRPr="009B18D9">
              <w:rPr>
                <w:rFonts w:ascii="Times New Roman" w:eastAsia="Times New Roman" w:hAnsi="Times New Roman" w:cs="Times New Roman"/>
                <w:sz w:val="20"/>
                <w:szCs w:val="20"/>
                <w:shd w:val="clear" w:color="auto" w:fill="FFFFFF"/>
              </w:rPr>
              <w:t>Pe baza avizului mentionat la alin. (6), Comisia Europeană informează Ministerul Transporturilor și Infrastructurii cu privire la modificările necesare pentru ca organismul notificat să îşi păstreze statutul care i-a fost conferit.</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i/>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Art.17 (8)</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r w:rsidRPr="009B18D9">
              <w:rPr>
                <w:rFonts w:ascii="Times New Roman" w:eastAsia="Times New Roman" w:hAnsi="Times New Roman" w:cs="Times New Roman"/>
                <w:sz w:val="20"/>
                <w:szCs w:val="20"/>
                <w:shd w:val="clear" w:color="auto" w:fill="FFFFFF"/>
              </w:rPr>
              <w:t>În cazul în care Ministerul Transporturilor și Infrastructurii consideră că un organism notificat de un alt stat membru al Uniunii Europene nu îndeplineşte criteriile prevăzute în 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aduce acest lucru la cunoştinţa Comitetului pentru taxarea rutieră electronică care asista Comisia Europeana.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A63C91"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Calibri" w:hAnsi="Times New Roman" w:cs="Times New Roman"/>
                <w:sz w:val="20"/>
                <w:szCs w:val="20"/>
                <w:highlight w:val="yellow"/>
              </w:rPr>
            </w:pPr>
            <w:r w:rsidRPr="009B18D9">
              <w:rPr>
                <w:rFonts w:ascii="Times New Roman" w:eastAsia="Calibri" w:hAnsi="Times New Roman" w:cs="Times New Roman"/>
                <w:sz w:val="20"/>
                <w:szCs w:val="20"/>
              </w:rPr>
              <w:t>Art.17 (9)</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r w:rsidRPr="009B18D9">
              <w:rPr>
                <w:rFonts w:ascii="Times New Roman" w:eastAsia="Times New Roman" w:hAnsi="Times New Roman" w:cs="Times New Roman"/>
                <w:sz w:val="20"/>
                <w:szCs w:val="20"/>
                <w:shd w:val="clear" w:color="auto" w:fill="FFFFFF"/>
              </w:rPr>
              <w:t>În termen de 90 de zile de la intrarea în vigoare a prezentei ordonante, Ministerul Transporturilor și Infrastructurii va elabora o procedură privind desemnarea organismelor de evaluare a conformităţii cu specificaţiile sau a caracterului adecvat pentru utilizare, notificarea acestora la Comisia Europeană şi celelalte state membre ale Uniunii Europene, procedură care se aprobă prin ordin al ministrului transporturilor și infrastructurii.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A63C91"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Comisia adoptă acte delegate în conformitate cu articolul 30, până la 19 octombrie 2019, pentru a stabili criteriile de eligibilitate minime pentru organismele notificate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Art. 20:</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Grupul de coordonare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shd w:val="clear" w:color="auto" w:fill="C0C0C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Se instituie un grup de coordonare al organismelor notificate în temeiul articolului 19 alineatul (1) (denumit în continuare "grupul de coordonare"), ca grup de lucru al Comitetului pentru taxarea rutieră electronică menţionat la articolul 31 alineatul (1), în conformitate cu regulamentul de procedură al comitetului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Art.17 (10)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Organismele notificate de România fac parte din grupul de coordonare al organismelor notificate, ca grup de lucru al Comitetului pentru taxarea rutieră electronică mentionat la alin. (6).</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p>
        </w:tc>
      </w:tr>
      <w:tr w:rsidR="009B18D9" w:rsidRPr="009B18D9" w:rsidTr="008E68B2">
        <w:trPr>
          <w:gridAfter w:val="1"/>
          <w:wAfter w:w="7" w:type="dxa"/>
          <w:trHeight w:val="170"/>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21: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Registre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1034"/>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În scopul punerii în aplicare a prezentei directive, fiecare stat membru ţine un registru electronic naţional referitor la următoarele: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bookmarkStart w:id="10" w:name="_Hlk72843507"/>
            <w:r w:rsidRPr="009B18D9">
              <w:rPr>
                <w:rFonts w:ascii="Times New Roman" w:eastAsia="Times New Roman" w:hAnsi="Times New Roman" w:cs="Times New Roman"/>
                <w:sz w:val="20"/>
                <w:szCs w:val="20"/>
                <w:shd w:val="clear" w:color="auto" w:fill="FFFFFF"/>
              </w:rPr>
              <w:t>În scopul aplicării prevederilor prezentei ordonanțe, se înființează registrul electronic naţional, operaționalizat de ICI București, accesibil publicului pe cale electronică</w:t>
            </w:r>
            <w:r w:rsidR="00E3762E" w:rsidRPr="009B18D9">
              <w:rPr>
                <w:rFonts w:ascii="Times New Roman" w:eastAsia="Times New Roman" w:hAnsi="Times New Roman" w:cs="Times New Roman"/>
                <w:sz w:val="20"/>
                <w:szCs w:val="20"/>
                <w:shd w:val="clear" w:color="auto" w:fill="FFFFFF"/>
              </w:rPr>
              <w:t xml:space="preserve"> incepand cu data de 19 octombrie 2021</w:t>
            </w:r>
            <w:r w:rsidRPr="009B18D9">
              <w:rPr>
                <w:rFonts w:ascii="Times New Roman" w:eastAsia="Times New Roman" w:hAnsi="Times New Roman" w:cs="Times New Roman"/>
                <w:sz w:val="20"/>
                <w:szCs w:val="20"/>
                <w:shd w:val="clear" w:color="auto" w:fill="FFFFFF"/>
              </w:rPr>
              <w:t>, și care conține următoarele informații:</w:t>
            </w:r>
            <w:bookmarkEnd w:id="10"/>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E3762E" w:rsidP="00D87DEC">
            <w:pPr>
              <w:widowControl w:val="0"/>
              <w:spacing w:after="0" w:line="240" w:lineRule="auto"/>
              <w:jc w:val="center"/>
              <w:rPr>
                <w:rFonts w:ascii="Times New Roman" w:hAnsi="Times New Roman" w:cs="Times New Roman"/>
                <w:sz w:val="20"/>
                <w:szCs w:val="20"/>
              </w:rPr>
            </w:pPr>
            <w:r w:rsidRPr="009B18D9">
              <w:rPr>
                <w:rFonts w:ascii="Times New Roman" w:eastAsia="Calibri" w:hAnsi="Times New Roman" w:cs="Times New Roman"/>
                <w:sz w:val="20"/>
                <w:szCs w:val="20"/>
              </w:rPr>
              <w:t xml:space="preserve">Transpune si art 21 alin. </w:t>
            </w:r>
            <w:r w:rsidR="00BC1FBA" w:rsidRPr="009B18D9">
              <w:rPr>
                <w:rFonts w:ascii="Times New Roman" w:eastAsia="Calibri" w:hAnsi="Times New Roman" w:cs="Times New Roman"/>
                <w:sz w:val="20"/>
                <w:szCs w:val="20"/>
              </w:rPr>
              <w:t>(3) si alin. (</w:t>
            </w:r>
            <w:r w:rsidRPr="009B18D9">
              <w:rPr>
                <w:rFonts w:ascii="Times New Roman" w:eastAsia="Calibri" w:hAnsi="Times New Roman" w:cs="Times New Roman"/>
                <w:sz w:val="20"/>
                <w:szCs w:val="20"/>
              </w:rPr>
              <w:t>4)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domeniile SETRE aflate pe teritoriul lor, inclusiv informaţii cu privire 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domeniile SETRE de pe teritoriul României, inclusiv informaţii cu privire la: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307"/>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entităţile corespunzătoare care percep taxele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entităţile care percep tarife rutiere pe aceste domenii;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bookmarkStart w:id="11" w:name="_Hlk67577763"/>
            <w:r w:rsidRPr="009B18D9">
              <w:rPr>
                <w:rFonts w:ascii="Times New Roman" w:eastAsia="Times New Roman" w:hAnsi="Times New Roman" w:cs="Times New Roman"/>
                <w:sz w:val="20"/>
                <w:szCs w:val="20"/>
              </w:rPr>
              <w:t>(ii)</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tehnologiile de taxare rutieră utilizate;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tehnologiile de tarifare rutieră utilizate;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bookmarkEnd w:id="11"/>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(iii)</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informaţiile privind taxa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(iii)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tarifele rutiere;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(iv)</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declaraţia privind domeniul SETRE;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(iv)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rPr>
                <w:rFonts w:ascii="Times New Roman" w:hAnsi="Times New Roman" w:cs="Times New Roman"/>
                <w:sz w:val="20"/>
                <w:szCs w:val="20"/>
              </w:rPr>
            </w:pPr>
            <w:bookmarkStart w:id="12" w:name="_Hlk67577805"/>
            <w:r w:rsidRPr="009B18D9">
              <w:rPr>
                <w:rFonts w:ascii="Times New Roman" w:eastAsia="Times New Roman" w:hAnsi="Times New Roman" w:cs="Times New Roman"/>
                <w:sz w:val="20"/>
                <w:szCs w:val="20"/>
                <w:shd w:val="clear" w:color="auto" w:fill="FFFFFF"/>
              </w:rPr>
              <w:t>declaraţiile privind domeniile SETRE;</w:t>
            </w:r>
            <w:bookmarkEnd w:id="12"/>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(v)</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furnizorii SETRE care deţin contracte SETRE cu entităţile care percep taxele rutiere şi care îşi desfăşoară activitatea pe teritoriul statului membru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(v)</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bookmarkStart w:id="13" w:name="_Hlk67577817"/>
            <w:r w:rsidRPr="009B18D9">
              <w:rPr>
                <w:rFonts w:ascii="Times New Roman" w:eastAsia="Times New Roman" w:hAnsi="Times New Roman" w:cs="Times New Roman"/>
                <w:sz w:val="20"/>
                <w:szCs w:val="20"/>
                <w:shd w:val="clear" w:color="auto" w:fill="FFFFFF"/>
              </w:rPr>
              <w:t>furnizorii SETRE care deţin contracte SETRE cu entităţile prevazute la alin. (1) lit.i);</w:t>
            </w:r>
            <w:bookmarkEnd w:id="13"/>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furnizorii SETRE cărora le-a acordat înregistrarea în conformitate cu articolul 4;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bookmarkStart w:id="14" w:name="_Hlk67577841"/>
            <w:r w:rsidRPr="009B18D9">
              <w:rPr>
                <w:rFonts w:ascii="Times New Roman" w:eastAsia="Times New Roman" w:hAnsi="Times New Roman" w:cs="Times New Roman"/>
                <w:sz w:val="20"/>
                <w:szCs w:val="20"/>
                <w:shd w:val="clear" w:color="auto" w:fill="FFFFFF"/>
              </w:rPr>
              <w:t>furnizorii SETRE cărora le-a acordat înregistrarea în conformitate cu art. 4 alin. (1);</w:t>
            </w:r>
            <w:bookmarkEnd w:id="14"/>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detaliile unui birou unic de contact pentru SETRE, menţionat la articolul 18, inclusiv o adresă de e-mail şi un număr de telefon.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c)</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url-ul platformei informatice prevazută la art. 16, cu rol de birou unic de contact pentru furnizorii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În lipsa unor dispoziţii contrare, statele membre verifică cel puţin o dată pe an dacă sunt îndeplinite în continuare cerinţele prevăzute la articolul 4 literele (a), (d), (e) şi (f) şi actualizează registrul în consecinţă.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18 alin. (1)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Registrul conţine, de asemenea, concluziile auditului prevăzut la articolul 4 litera (e).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d)</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concluziile auditului prevăzut la art. 4 alin. (1) lit. e) privind planul de gestionare globală a riscurilor.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Statul membru nu este responsabil pentru acţiunile furnizorilor SETRE incluşi în registrul său.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p>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63D3" w:rsidRPr="009B18D9" w:rsidRDefault="008F63D3"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iau măsurile necesare pentru a se asigura că toate datele conţinute în registrul electronic naţional sunt actualizate şi corecte.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Informațiile prevăzute la alin. (1) se actualizează ori de câte ori intervine o modificare;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r>
      <w:tr w:rsidR="009B18D9" w:rsidRPr="009B18D9" w:rsidTr="008E68B2">
        <w:trPr>
          <w:gridAfter w:val="1"/>
          <w:wAfter w:w="7" w:type="dxa"/>
          <w:trHeight w:val="343"/>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Registrele sunt accesibile publicului pe cale electronică.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Transpus prin art 18 alin. (1)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Aceste registre sunt disponibile începând cu 19 octombrie 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i/>
                <w:sz w:val="20"/>
                <w:szCs w:val="20"/>
              </w:rPr>
            </w:pPr>
            <w:r w:rsidRPr="009B18D9">
              <w:rPr>
                <w:rFonts w:ascii="Times New Roman" w:eastAsia="Calibri" w:hAnsi="Times New Roman" w:cs="Times New Roman"/>
                <w:sz w:val="20"/>
                <w:szCs w:val="20"/>
              </w:rPr>
              <w:t>Transpus prin art 18 alin. (1)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highlight w:val="yellow"/>
              </w:rPr>
            </w:pPr>
            <w:bookmarkStart w:id="15" w:name="_Hlk72754319"/>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hAnsi="Times New Roman" w:cs="Times New Roman"/>
                <w:sz w:val="20"/>
                <w:szCs w:val="20"/>
                <w:lang w:val="ro-RO"/>
              </w:rPr>
              <w:t>ICI București întocmește, administrază și actualizează Registrul electronic național.</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highlight w:val="yellow"/>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highlight w:val="yellow"/>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Înregistrarea informațiilor privind domeniile SETRE și furnizorii SETRE în Registrul electronic national se efectuează în baza unei proceduri elaborate de ICI București.</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highlight w:val="yellow"/>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rPr>
              <w:t>Prin procedura prevazută la alin. (4) se stabilesc și măsurile administrative care se aplică în cazul în care furnizorii nu mai îndeplinesc condițiile în baza cărora le-a fost acordată înregistrarea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highlight w:val="yellow"/>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highlight w:val="yellow"/>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sz w:val="20"/>
                <w:szCs w:val="20"/>
                <w:lang w:val="ro-RO"/>
              </w:rPr>
              <w:t>ICI București verifică cel puţin o dată pe an dacă furnizorii înregistrați îndeplinesc condițiile în baza cărora le-a fost acordată înregistrarea.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Transpune art 21 alin. (1) lit. c) par. 2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La sfârşitul fiecărui an calendaristic, autorităţile statelor membre responsabile de registre comunică pe cale electronică Comisiei registrele domeniilor SETRE şi ale furnizorilor SETRE. Comisia pune aceste informaţii la dispoziţia celorlalte state membre. Orice neconcordanţă cu situaţia dintr-un stat membru este adusă în atenţia statului membru în care s-a efectuat înregistrarea şi Comisiei.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Art.18 </w:t>
            </w:r>
            <w:r w:rsidRPr="009B18D9">
              <w:rPr>
                <w:rFonts w:ascii="Times New Roman" w:eastAsia="Times New Roman" w:hAnsi="Times New Roman" w:cs="Times New Roman"/>
                <w:sz w:val="20"/>
                <w:szCs w:val="20"/>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La sfârşitul fiecărui an calendaristic, ICI București comunică pe cale electronică Comisiei Europene registrele domeniilor SETRE şi ale furnizorilor SETRE.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tabs>
                <w:tab w:val="left" w:pos="1076"/>
                <w:tab w:val="center" w:pos="1422"/>
              </w:tabs>
              <w:spacing w:after="0" w:line="240" w:lineRule="auto"/>
              <w:jc w:val="both"/>
              <w:rPr>
                <w:rFonts w:ascii="Times New Roman" w:eastAsia="Calibri" w:hAnsi="Times New Roman" w:cs="Times New Roman"/>
                <w:sz w:val="20"/>
                <w:szCs w:val="20"/>
              </w:rPr>
            </w:pPr>
          </w:p>
        </w:tc>
      </w:tr>
      <w:bookmarkEnd w:id="15"/>
      <w:tr w:rsidR="009B18D9" w:rsidRPr="009B18D9" w:rsidTr="008E68B2">
        <w:trPr>
          <w:gridAfter w:val="1"/>
          <w:wAfter w:w="7" w:type="dxa"/>
          <w:trHeight w:val="7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VII:</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SISTEMELE-PILOT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22: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Sistemele-pilot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Pentru a permite dezvoltarea din punct de vedere tehnic a SETRE, statele membre pot autoriza temporar, în zone limitate ale domeniului lor de taxare rutieră şi în paralel cu sistemul care este conform SETRE, sisteme-pilot de taxare care includ concepte sau tehnologii noi care nu sunt conforme cu una sau mai multe dispoziţii ale prezentei directive.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i/>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14 alin. (4)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Furnizorii SETRE nu pot fi obligaţi să participe la sistemele-pilot de taxare rutieră.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tabs>
                <w:tab w:val="left" w:pos="503"/>
                <w:tab w:val="right" w:pos="589"/>
              </w:tabs>
              <w:spacing w:after="0" w:line="240" w:lineRule="auto"/>
              <w:jc w:val="right"/>
              <w:rPr>
                <w:rFonts w:ascii="Times New Roman" w:hAnsi="Times New Roman" w:cs="Times New Roman"/>
                <w: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i/>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14 alin. (5)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Înainte de a demara un sistem-pilot de taxare rutieră, statul membru în cauză solicită autorizarea Comisiei. Comisia eliberează autorizaţia sau refuză acordarea acesteia, sub forma unei decizii, în termen de şase luni din momentul primirii cererii.</w:t>
            </w:r>
            <w:r w:rsidRPr="009B18D9">
              <w:rPr>
                <w:rFonts w:ascii="Times New Roman" w:eastAsia="Times New Roman" w:hAnsi="Times New Roman" w:cs="Times New Roman"/>
                <w:b/>
                <w:i/>
                <w:sz w:val="20"/>
                <w:szCs w:val="20"/>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i/>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14 alin. (6)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Comisia poate refuza autorizarea în cazul în care sistemul-pilot de taxare ar putea afecta buna funcţionare a sistemului obişnuit de taxare rutieră electronică sau a SETRE. Perioada iniţială a acestei autorizaţii nu depăşeşte trei ani.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Comisia eliberează autorizaţia sau refuză acordarea acesteia, sub forma unei decizii, în termen de şase luni din momentul primirii cererii.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Comisia poate refuza autorizarea în cazul în care sistemul-pilot de tarifare ar putea afecta buna funcţionare a sistemului obişnuit de tarifare rutieră electronică sau a SETRE.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Perioada iniţială a acestei autorizaţii nu depăşeşte trei ani.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63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CAPITOLUL VIII:</w:t>
            </w:r>
            <w:r w:rsidRPr="009B18D9">
              <w:rPr>
                <w:rFonts w:ascii="Times New Roman" w:eastAsia="Times New Roman" w:hAnsi="Times New Roman" w:cs="Times New Roman"/>
                <w:sz w:val="20"/>
                <w:szCs w:val="20"/>
                <w:shd w:val="clear" w:color="auto" w:fill="FFFFFF"/>
              </w:rPr>
              <w:t xml:space="preserve"> </w:t>
            </w:r>
            <w:r w:rsidRPr="009B18D9">
              <w:rPr>
                <w:rFonts w:ascii="Times New Roman" w:eastAsia="Times New Roman" w:hAnsi="Times New Roman" w:cs="Times New Roman"/>
                <w:b/>
                <w:sz w:val="20"/>
                <w:szCs w:val="20"/>
                <w:shd w:val="clear" w:color="auto" w:fill="FFFFFF"/>
              </w:rPr>
              <w:t>SCHIMBUL DE INFORMAŢII PRIVIND NEPLATA TAXELOR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674"/>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 xml:space="preserve">Art. 23: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Procedura pentru schimbul de informaţii între statele membre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bookmarkStart w:id="16" w:name="_Hlk67578257"/>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Pentru a permite identificarea vehiculului, precum şi a proprietarului sau deţinătorului vehiculului respectiv, pentru care a fost stabilită neplata unei taxe rutiere, fiecare stat membru acordă acces numai punctelor naţionale de contact ale altor state membre la următoarele date naţionale privind înmatricularea vehiculelor, autorizându-le să efectueze căutări automate cu privire la: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Art.19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Direcția Regim Permise de Conducere și Înmatriculare a Vehiculelor din cadrul Ministerului Afacerilor Interne, denumită în continuare DRPCIV, în calitate de punct național de contact în România, în vederea identificării unui vehicul, precum şi a deţinătorului acestuia, pentru care a fost stabilită neplata unui tarif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highlight w:val="green"/>
              </w:rPr>
            </w:pPr>
            <w:r w:rsidRPr="009B18D9">
              <w:rPr>
                <w:rFonts w:ascii="Times New Roman" w:eastAsia="Calibri" w:hAnsi="Times New Roman" w:cs="Times New Roman"/>
                <w:sz w:val="20"/>
                <w:szCs w:val="20"/>
              </w:rPr>
              <w:t>Transpune art. 23 alin. (2)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datele privind vehiculele;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acordă acces punctelor naţionale de contact ale altor state membre ale Uniunii Europene și le autorizează să efectueze căutări automate în Registrul național de evidență a permiselor de conducere și vehiculelor înmatriculate, denumit în continuare RNEPCVI, cu privire la datele referitoare la vehiculele înmatriculate în România şi deţinătorii acestora;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i/>
                <w:sz w:val="20"/>
                <w:szCs w:val="20"/>
                <w:highlight w:val="yellow"/>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datele privind proprietarii sau deţinătorii vehiculelor.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lang w:val="ro-RO"/>
              </w:rPr>
              <w:t>acordă, prin proceduri de interogare automată, acces entităților/ autorităților din România care percep tarife rutiere la date din RNEPCVI sau la date obținute automat de către DRPCIV de la punctele naționale de contact din celelalte state membre ale Uniunii Europene, cu privire la vehiculele înmatriculate și deţinătorii acestora.</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Calibri" w:hAnsi="Times New Roman" w:cs="Times New Roman"/>
                <w:sz w:val="20"/>
                <w:szCs w:val="20"/>
              </w:rPr>
              <w:t>Art.19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Del="006B340A"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lang w:val="ro-RO"/>
              </w:rPr>
              <w:t xml:space="preserve">În scopurile prevăzute la alin. (1) accesul în RNEPCVI se efectuează prin intermediul aplicației informatice a Sistemului european de informații privind vehiculele și permisele de conducere (EUCARIS), prin căutări automate, utilizând un număr de înmatriculare complet, în conformitate cu procedurile menționate la punctele 2 și 3 din Capitolul 3 al Anexei la Decizia 2008/616/JAI a Consiliului din 23 iunie 2008 privind punerea în aplicare </w:t>
            </w:r>
            <w:r w:rsidRPr="009B18D9">
              <w:rPr>
                <w:rFonts w:ascii="Times New Roman" w:hAnsi="Times New Roman" w:cs="Times New Roman"/>
                <w:sz w:val="20"/>
                <w:szCs w:val="20"/>
                <w:lang w:val="ro-RO"/>
              </w:rPr>
              <w:lastRenderedPageBreak/>
              <w:t>a Deciziei 2008/615/JAI privind intensificarea cooperării transfrontaliere, în special în domeniul combaterii terorismului și a criminalității transfrontaliere.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65FE"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Transpune art. 23 alin. (3)</w:t>
            </w:r>
            <w:r w:rsidR="002D6EE6" w:rsidRPr="009B18D9">
              <w:rPr>
                <w:rFonts w:ascii="Times New Roman" w:eastAsia="Calibri" w:hAnsi="Times New Roman" w:cs="Times New Roman"/>
                <w:sz w:val="20"/>
                <w:szCs w:val="20"/>
              </w:rPr>
              <w:t xml:space="preserve"> si alin. (4)</w:t>
            </w:r>
            <w:r w:rsidRPr="009B18D9">
              <w:rPr>
                <w:rFonts w:ascii="Times New Roman" w:eastAsia="Calibri" w:hAnsi="Times New Roman" w:cs="Times New Roman"/>
                <w:sz w:val="20"/>
                <w:szCs w:val="20"/>
              </w:rPr>
              <w:t xml:space="preserve">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Elementele datelor menţionate la literele (a) şi (b) care sunt necesare pentru efectuarea unei căutări automate trebuie respecte anexa 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Art.19 (3)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Structura și setul de date privind vehiculele și deţinătorii acestora, necesare căutărilor automate mentionate la alin. (1), precum și elementele de date furnizate ca rezultat al căutărilor automate sunt prevăzute în Anexa nr. 1 la prezenta ordonantă.</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i/>
                <w:sz w:val="20"/>
                <w:szCs w:val="20"/>
                <w:highlight w:val="yellow"/>
              </w:rPr>
            </w:pPr>
          </w:p>
        </w:tc>
      </w:tr>
      <w:bookmarkEnd w:id="16"/>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6EE6"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În scopul schimbului de date menţionate la alineatul (1), fiecare stat membru desemnează un punct naţional de contact. </w:t>
            </w:r>
          </w:p>
          <w:p w:rsidR="002D6EE6" w:rsidRPr="009B18D9" w:rsidRDefault="002D6EE6"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iau măsurile necesare pentru a se asigura că schimbul de informaţii dintre statele membre are loc numai între punctele naţionale de contact.</w:t>
            </w:r>
          </w:p>
          <w:p w:rsidR="00BC1FBA" w:rsidRPr="009B18D9" w:rsidRDefault="002D6EE6"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Competenţele punctelor naţionale de contact sunt reglementate de legislaţia aplicabilă a statului membru în cauză. În acest proces de schimb de date, se acordă o atenţie deosebită protecţiei corespunzătoare a datelor cu caracter personal.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center"/>
              <w:rPr>
                <w:rFonts w:ascii="Times New Roman" w:eastAsia="Calibri" w:hAnsi="Times New Roman" w:cs="Times New Roman"/>
                <w:i/>
                <w:sz w:val="20"/>
                <w:szCs w:val="20"/>
                <w:highlight w:val="yellow"/>
              </w:rPr>
            </w:pPr>
            <w:r w:rsidRPr="009B18D9">
              <w:rPr>
                <w:rFonts w:ascii="Times New Roman" w:eastAsia="Calibri" w:hAnsi="Times New Roman" w:cs="Times New Roman"/>
                <w:sz w:val="20"/>
                <w:szCs w:val="20"/>
              </w:rPr>
              <w:t>Transpus prin art 19 alin. (1)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6EE6" w:rsidRPr="009B18D9" w:rsidRDefault="00BC1FBA"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La efectuarea unei căutări automate sub formă de cerere transmisă, punctul naţional de contact al statului membru pe al cărui teritoriu a avut loc neplata unei taxe rutiere utilizează un număr de înmatriculare complet.</w:t>
            </w:r>
          </w:p>
          <w:p w:rsidR="002D6EE6" w:rsidRPr="009B18D9" w:rsidRDefault="002D6EE6"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Aceste căutări automate se efectuează în conformitate cu procedurile menţionate la punctele 2 şi 3 din capitolul 3 al anexei la Decizia </w:t>
            </w:r>
            <w:hyperlink r:id="rId23">
              <w:r w:rsidRPr="009B18D9">
                <w:rPr>
                  <w:rFonts w:ascii="Times New Roman" w:eastAsia="Times New Roman" w:hAnsi="Times New Roman" w:cs="Times New Roman"/>
                  <w:b/>
                  <w:sz w:val="20"/>
                  <w:szCs w:val="20"/>
                  <w:u w:val="single"/>
                  <w:shd w:val="clear" w:color="auto" w:fill="FFFFFF"/>
                </w:rPr>
                <w:t>2008/616/JAI</w:t>
              </w:r>
            </w:hyperlink>
            <w:r w:rsidRPr="009B18D9">
              <w:rPr>
                <w:rFonts w:ascii="Times New Roman" w:eastAsia="Times New Roman" w:hAnsi="Times New Roman" w:cs="Times New Roman"/>
                <w:sz w:val="20"/>
                <w:szCs w:val="20"/>
                <w:shd w:val="clear" w:color="auto" w:fill="FFFFFF"/>
              </w:rPr>
              <w:t xml:space="preserve"> a Consiliului (</w:t>
            </w:r>
            <w:r w:rsidRPr="009B18D9">
              <w:rPr>
                <w:rFonts w:ascii="Times New Roman" w:eastAsia="Times New Roman" w:hAnsi="Times New Roman" w:cs="Times New Roman"/>
                <w:sz w:val="20"/>
                <w:szCs w:val="20"/>
                <w:shd w:val="clear" w:color="auto" w:fill="FFFFFF"/>
                <w:vertAlign w:val="superscript"/>
              </w:rPr>
              <w:t>16</w:t>
            </w:r>
            <w:r w:rsidRPr="009B18D9">
              <w:rPr>
                <w:rFonts w:ascii="Times New Roman" w:eastAsia="Times New Roman" w:hAnsi="Times New Roman" w:cs="Times New Roman"/>
                <w:sz w:val="20"/>
                <w:szCs w:val="20"/>
                <w:shd w:val="clear" w:color="auto" w:fill="FFFFFF"/>
              </w:rPr>
              <w:t xml:space="preserve">) şi cu cerinţele din anexa I la prezenta directivă. </w:t>
            </w:r>
          </w:p>
          <w:p w:rsidR="002D6EE6" w:rsidRPr="009B18D9" w:rsidRDefault="002D6EE6"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Statul membru pe al cărui teritoriu a avut loc neplata unei taxe rutiere utilizează datele obţinute pentru a stabili cine este responsabil de neplata taxei respective. </w:t>
            </w:r>
          </w:p>
          <w:p w:rsidR="00BC1FBA" w:rsidRPr="009B18D9" w:rsidRDefault="002D6EE6"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w:t>
            </w:r>
            <w:r w:rsidRPr="009B18D9">
              <w:rPr>
                <w:rFonts w:ascii="Times New Roman" w:eastAsia="Times New Roman" w:hAnsi="Times New Roman" w:cs="Times New Roman"/>
                <w:sz w:val="20"/>
                <w:szCs w:val="20"/>
                <w:shd w:val="clear" w:color="auto" w:fill="FFFFFF"/>
                <w:vertAlign w:val="superscript"/>
              </w:rPr>
              <w:t>16</w:t>
            </w:r>
            <w:r w:rsidRPr="009B18D9">
              <w:rPr>
                <w:rFonts w:ascii="Times New Roman" w:eastAsia="Times New Roman" w:hAnsi="Times New Roman" w:cs="Times New Roman"/>
                <w:sz w:val="20"/>
                <w:szCs w:val="20"/>
                <w:shd w:val="clear" w:color="auto" w:fill="FFFFFF"/>
              </w:rPr>
              <w:t xml:space="preserve">)Decizia </w:t>
            </w:r>
            <w:hyperlink r:id="rId24">
              <w:r w:rsidRPr="009B18D9">
                <w:rPr>
                  <w:rFonts w:ascii="Times New Roman" w:eastAsia="Times New Roman" w:hAnsi="Times New Roman" w:cs="Times New Roman"/>
                  <w:b/>
                  <w:sz w:val="20"/>
                  <w:szCs w:val="20"/>
                  <w:u w:val="single"/>
                  <w:shd w:val="clear" w:color="auto" w:fill="FFFFFF"/>
                </w:rPr>
                <w:t>2008/616/JAI</w:t>
              </w:r>
            </w:hyperlink>
            <w:r w:rsidRPr="009B18D9">
              <w:rPr>
                <w:rFonts w:ascii="Times New Roman" w:eastAsia="Times New Roman" w:hAnsi="Times New Roman" w:cs="Times New Roman"/>
                <w:sz w:val="20"/>
                <w:szCs w:val="20"/>
                <w:shd w:val="clear" w:color="auto" w:fill="FFFFFF"/>
              </w:rPr>
              <w:t xml:space="preserve"> a Consiliului din 23 iunie 2008 privind punerea în aplicare a Deciziei </w:t>
            </w:r>
            <w:hyperlink r:id="rId25">
              <w:r w:rsidRPr="009B18D9">
                <w:rPr>
                  <w:rFonts w:ascii="Times New Roman" w:eastAsia="Times New Roman" w:hAnsi="Times New Roman" w:cs="Times New Roman"/>
                  <w:b/>
                  <w:sz w:val="20"/>
                  <w:szCs w:val="20"/>
                  <w:u w:val="single"/>
                  <w:shd w:val="clear" w:color="auto" w:fill="FFFFFF"/>
                </w:rPr>
                <w:t>2008/615/JAI</w:t>
              </w:r>
            </w:hyperlink>
            <w:r w:rsidRPr="009B18D9">
              <w:rPr>
                <w:rFonts w:ascii="Times New Roman" w:eastAsia="Times New Roman" w:hAnsi="Times New Roman" w:cs="Times New Roman"/>
                <w:sz w:val="20"/>
                <w:szCs w:val="20"/>
                <w:shd w:val="clear" w:color="auto" w:fill="FFFFFF"/>
              </w:rPr>
              <w:t xml:space="preserve"> privind intensificarea cooperării transfrontaliere, în special în domeniul combaterii terorismului şi a criminalităţii transfrontaliere (JO L 210, 6.8.2008, p. 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2D6EE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19 alin. (2)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Statele membre iau măsurile necesare pentru a asigura realizarea schimbului de informaţii cu ajutorul aplicaţiei informatice a Sistemului european de informare privind vehiculele şi permisele de conducere (Eucaris) şi cu ajutorul versiunilor modificate ale acesteia, în conformitate cu anexa I la prezenta directivă şi cu punctele 2 şi 3 din capitolul 3 al anexei la Decizia </w:t>
            </w:r>
            <w:hyperlink r:id="rId26">
              <w:r w:rsidRPr="009B18D9">
                <w:rPr>
                  <w:rFonts w:ascii="Times New Roman" w:eastAsia="Times New Roman" w:hAnsi="Times New Roman" w:cs="Times New Roman"/>
                  <w:b/>
                  <w:sz w:val="20"/>
                  <w:szCs w:val="20"/>
                  <w:u w:val="single"/>
                  <w:shd w:val="clear" w:color="auto" w:fill="FFFFFF"/>
                </w:rPr>
                <w:t>2008/616/JAI</w:t>
              </w:r>
            </w:hyperlink>
            <w:r w:rsidRPr="009B18D9">
              <w:rPr>
                <w:rFonts w:ascii="Times New Roman" w:eastAsia="Times New Roman" w:hAnsi="Times New Roman" w:cs="Times New Roman"/>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2D6EE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19 alin. (2)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Fiecare stat membru suportă costurile proprii care decurg din administrarea, utilizarea şi întreţinerea aplicaţiilor informatice menţionate la alineatul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C1FBA" w:rsidRPr="009B18D9" w:rsidRDefault="002D6EE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Nu necesita transpunere</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iCs/>
                <w:sz w:val="20"/>
                <w:szCs w:val="20"/>
              </w:rPr>
            </w:pPr>
            <w:r w:rsidRPr="009B18D9">
              <w:rPr>
                <w:rFonts w:ascii="Times New Roman" w:eastAsia="Times New Roman" w:hAnsi="Times New Roman" w:cs="Times New Roman"/>
                <w:iCs/>
                <w:sz w:val="20"/>
                <w:szCs w:val="20"/>
              </w:rPr>
              <w:t>Art. 24: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b/>
                <w:iCs/>
                <w:sz w:val="20"/>
                <w:szCs w:val="20"/>
                <w:shd w:val="clear" w:color="auto" w:fill="FFFFFF"/>
              </w:rPr>
              <w:t>Scrisoarea de informare privind neplata unei taxe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i/>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iCs/>
                <w:sz w:val="20"/>
                <w:szCs w:val="20"/>
              </w:rPr>
            </w:pPr>
            <w:bookmarkStart w:id="17" w:name="_Hlk72755055"/>
            <w:r w:rsidRPr="009B18D9">
              <w:rPr>
                <w:rFonts w:ascii="Times New Roman" w:eastAsia="Times New Roman" w:hAnsi="Times New Roman" w:cs="Times New Roman"/>
                <w:iCs/>
                <w:sz w:val="20"/>
                <w:szCs w:val="20"/>
              </w:rPr>
              <w:lastRenderedPageBreak/>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6EE6" w:rsidRPr="009B18D9" w:rsidRDefault="00BC1FBA"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Times New Roman" w:hAnsi="Times New Roman" w:cs="Times New Roman"/>
                <w:iCs/>
                <w:sz w:val="20"/>
                <w:szCs w:val="20"/>
                <w:shd w:val="clear" w:color="auto" w:fill="FFFFFF"/>
              </w:rPr>
              <w:t>Statul membru pe al cărui teritoriu a avut loc neplata unei taxe rutiere decide dacă iniţiază sau nu procedurile ulterioare în ceea ce priveşte neplata unei taxe rutiere.</w:t>
            </w:r>
            <w:r w:rsidRPr="009B18D9">
              <w:rPr>
                <w:rFonts w:ascii="Times New Roman" w:hAnsi="Times New Roman" w:cs="Times New Roman"/>
                <w:sz w:val="20"/>
                <w:szCs w:val="20"/>
              </w:rPr>
              <w:t xml:space="preserve"> </w:t>
            </w:r>
            <w:r w:rsidRPr="009B18D9">
              <w:rPr>
                <w:rFonts w:ascii="Times New Roman" w:eastAsia="Times New Roman" w:hAnsi="Times New Roman" w:cs="Times New Roman"/>
                <w:iCs/>
                <w:sz w:val="20"/>
                <w:szCs w:val="20"/>
                <w:shd w:val="clear" w:color="auto" w:fill="FFFFFF"/>
              </w:rPr>
              <w:t>Dacă decide să iniţieze astfel de proceduri, statul membru pe al cărui teritoriu a avut loc neplata unei taxe rutiere informează, în conformitate cu legislaţia naţională, proprietarul, deţinătorul vehiculului sau persoana identificată în alt mod suspectată de neplata taxei rutiere.</w:t>
            </w:r>
          </w:p>
          <w:p w:rsidR="00BC1FBA" w:rsidRPr="009B18D9" w:rsidRDefault="002D6EE6"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În conformitate cu normele de drept intern, informarea menţionată prezintă consecinţele juridice ale faptei respective pe teritoriul statului membru unde a avut loc neplata unei taxe rutiere în temeiul legislaţiei statului membru respectiv.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(1)</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În situația în care constată că a avut loc o neplată a unui tarif rutier pentru un vehicul înmatriculat într-un stat membru al Uniunii Europene, entitatea/ autoritatea din România care îl percepe informează deţinătorul vehiculului, identificat în conformitate cu prevederile art. 19, cel putin cu privire la numărul de înmatriculare al vehiculului pentru care a constatat neplata, categoria și configurația acestuia, locul, data şi ora neplăţii tarifului rutier, sumele datorate, consecinţele juridice ale neplății pe teritoriul României în conformitate cu legislația aplicabilă, dreptul la o cale de atac și, după caz, date privind dispozitivul utilizat pentru constatarea neplăţii tarifului rutier.</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C1FBA" w:rsidRPr="009B18D9" w:rsidRDefault="002D6EE6"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Transpune si art. 24 alin. (2)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Times New Roman" w:hAnsi="Times New Roman" w:cs="Times New Roman"/>
                <w:iCs/>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Times New Roman" w:hAnsi="Times New Roman" w:cs="Times New Roman"/>
                <w:i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(2)</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Forma și conținutul scrisorii de informare se stabilesc prin actul normativ care reglementează aplicarea tarifului rutier.</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C1FBA" w:rsidRPr="009B18D9" w:rsidRDefault="00BA487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bookmarkEnd w:id="17"/>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right"/>
              <w:rPr>
                <w:rFonts w:ascii="Times New Roman" w:hAnsi="Times New Roman" w:cs="Times New Roman"/>
                <w:iCs/>
                <w:sz w:val="20"/>
                <w:szCs w:val="20"/>
              </w:rPr>
            </w:pPr>
            <w:r w:rsidRPr="009B18D9">
              <w:rPr>
                <w:rFonts w:ascii="Times New Roman" w:eastAsia="Times New Roman" w:hAnsi="Times New Roman" w:cs="Times New Roman"/>
                <w:iCs/>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 xml:space="preserve">Atunci când transmite scrisoarea de informare proprietarului ori deţinătorului vehiculului sau persoanei identificate în alt mod suspectate de neplata taxei rutiere, statul membru pe al cărui teritoriu a avut loc neplata unei taxe rutiere include, în conformitate cu dreptul său intern, toate informaţiile relevante, în special natura neplăţii unei taxe rutiere, locul, data şi ora neplăţii unei taxe rutiere, titlul textelor de drept intern care au fost încălcate, dreptul la o cale de atac şi dreptul de a primi informaţii şi sancţiunea aferentă, precum şi, după caz, date privind dispozitivul utilizat pentru constatarea neplăţii taxei rutiere.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C1FBA" w:rsidRPr="009B18D9" w:rsidRDefault="00BC1FBA"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C1FBA" w:rsidRPr="009B18D9" w:rsidRDefault="00BA487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20 alin. (1)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Times New Roman" w:hAnsi="Times New Roman" w:cs="Times New Roman"/>
                <w:iCs/>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i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(3)</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Informarea prevăzută la alin. (1) se transmite în scris, prin posta cu confirmare de primire la adresa de domiciliu/ sediul </w:t>
            </w:r>
            <w:r w:rsidR="00A95D55" w:rsidRPr="00A95D55">
              <w:rPr>
                <w:rFonts w:ascii="Times New Roman" w:eastAsia="Calibri" w:hAnsi="Times New Roman" w:cs="Times New Roman"/>
                <w:sz w:val="20"/>
                <w:szCs w:val="20"/>
              </w:rPr>
              <w:t>deținătorului vehiculului</w:t>
            </w:r>
            <w:r w:rsidRPr="009B18D9">
              <w:rPr>
                <w:rFonts w:ascii="Times New Roman" w:eastAsia="Calibri" w:hAnsi="Times New Roman" w:cs="Times New Roman"/>
                <w:sz w:val="20"/>
                <w:szCs w:val="20"/>
              </w:rPr>
              <w:t>, asa cum acestea sunt obținute automat în conformitate cu prevederile art. 19.</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Times New Roman" w:hAnsi="Times New Roman" w:cs="Times New Roman"/>
                <w:iCs/>
                <w:sz w:val="20"/>
                <w:szCs w:val="20"/>
              </w:rPr>
            </w:pPr>
            <w:bookmarkStart w:id="18" w:name="_Hlk72755074"/>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iCs/>
                <w:sz w:val="20"/>
                <w:szCs w:val="20"/>
                <w:shd w:val="clear" w:color="auto" w:fill="FFFFFF"/>
              </w:rPr>
            </w:pPr>
            <w:r w:rsidRPr="009B18D9">
              <w:rPr>
                <w:rFonts w:ascii="Times New Roman" w:eastAsia="Times New Roman" w:hAnsi="Times New Roman" w:cs="Times New Roman"/>
                <w:iCs/>
                <w:sz w:val="20"/>
                <w:szCs w:val="20"/>
                <w:shd w:val="clear" w:color="auto" w:fill="FFFFFF"/>
              </w:rPr>
              <w:t>În acest scop, la redactarea scrisorii de informare, statul membru pe al cărui teritoriu a avut loc neplata unei taxe rutiere utilizează modelul prevăzut în anexa 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Va fi transpus prin prin actul normativ care reglementează aplicarea tarifului rutier.</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iCs/>
                <w:sz w:val="20"/>
                <w:szCs w:val="20"/>
              </w:rPr>
            </w:pPr>
            <w:r w:rsidRPr="009B18D9">
              <w:rPr>
                <w:rFonts w:ascii="Times New Roman" w:eastAsia="Times New Roman" w:hAnsi="Times New Roman" w:cs="Times New Roman"/>
                <w:iCs/>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iCs/>
                <w:sz w:val="20"/>
                <w:szCs w:val="20"/>
              </w:rPr>
            </w:pPr>
            <w:r w:rsidRPr="009B18D9">
              <w:rPr>
                <w:rFonts w:ascii="Times New Roman" w:eastAsia="Times New Roman" w:hAnsi="Times New Roman" w:cs="Times New Roman"/>
                <w:iCs/>
                <w:sz w:val="20"/>
                <w:szCs w:val="20"/>
                <w:shd w:val="clear" w:color="auto" w:fill="FFFFFF"/>
              </w:rPr>
              <w:t>În cazul în care decide să iniţieze proceduri ulterioare referitoare la neplata unei taxe rutiere, statul membru pe al cărui teritoriu a avut loc neplata unei taxe rutiere transmite scrisoarea de informare, în scopul garantării respectării drepturilor fundamentale, în limba în care este redactat documentul de înmatriculare a vehiculului, dacă acesta este disponibil, sau într-una din limbile oficiale ale statului membru de înmatriculare.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(4)</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Informarea prevăzută la alin. (1) se transmite într-una din limbile oficiale ale statului membru de înmatriculare a vehiculului.</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Times New Roman" w:hAnsi="Times New Roman" w:cs="Times New Roman"/>
                <w:iCs/>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i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(5)</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 xml:space="preserve">Plata conformă a sumelor datorate pune capăt neplăţii și oricăror sancțiuni ulterioare împotriva deținătorului </w:t>
            </w:r>
            <w:r w:rsidRPr="009B18D9">
              <w:rPr>
                <w:rFonts w:ascii="Times New Roman" w:eastAsia="Calibri" w:hAnsi="Times New Roman" w:cs="Times New Roman"/>
                <w:sz w:val="20"/>
                <w:szCs w:val="20"/>
              </w:rPr>
              <w:lastRenderedPageBreak/>
              <w:t>vehiculului.</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A487F" w:rsidRPr="009B18D9" w:rsidRDefault="00C77EF8"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lastRenderedPageBreak/>
              <w:t>Transpune art. 25 alin. (1) lit. d) din Directiva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Times New Roman" w:hAnsi="Times New Roman" w:cs="Times New Roman"/>
                <w:iCs/>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iCs/>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20 (6)</w:t>
            </w:r>
          </w:p>
        </w:tc>
        <w:tc>
          <w:tcPr>
            <w:tcW w:w="481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Datele obtinute conform prevederilor alin. (1) sunt utilizate exclusiv în scopul recuperării sumelor datorate pentru neplata tarifului rutier. Termenul de păstrare al acestora se stabilește prin actul normativ care reglementeaza aplicarea tarifului rutier.</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BA487F" w:rsidRPr="009B18D9" w:rsidRDefault="00C77EF8"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Transpune art. 25 alin. (2) din Directiva</w:t>
            </w:r>
          </w:p>
        </w:tc>
      </w:tr>
      <w:bookmarkEnd w:id="18"/>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25: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Proceduri de urmărire de către entităţile de colectare a taxei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Statul membru pe al cărui teritoriu a avut loc neplata unei taxe rutiere poate furniza entităţii responsabile cu perceperea taxei rutiere datele obţinute prin procedura menţionată la articolul 23 alineatul (1) numai dacă sunt îndeplinite următoarele condiţii: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i/>
                <w:sz w:val="20"/>
                <w:szCs w:val="20"/>
                <w:highlight w:val="green"/>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2909" w:type="dxa"/>
            <w:vMerge w:val="restart"/>
            <w:tcBorders>
              <w:top w:val="single" w:sz="4" w:space="0" w:color="000000"/>
              <w:left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Conditiile sunt indeplinite conform procedurii mentionate la art. 20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datele transferate se limitează la ceea ce este necesar pentru ca entitatea respectivă să obţină taxa rutieră datorată;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2909" w:type="dxa"/>
            <w:vMerge/>
            <w:tcBorders>
              <w:left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procedura de obţinere a taxei rutiere datorate este în conformitate cu procedura prevăzută la articolul 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2909" w:type="dxa"/>
            <w:vMerge/>
            <w:tcBorders>
              <w:left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b/>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entitatea în cauză este responsabilă de îndeplinirea acestei proceduri; 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highlight w:val="green"/>
              </w:rPr>
            </w:pPr>
          </w:p>
        </w:tc>
        <w:tc>
          <w:tcPr>
            <w:tcW w:w="2909" w:type="dxa"/>
            <w:vMerge/>
            <w:tcBorders>
              <w:left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respectarea ordinului de plată emis de către entitatea care primeşte datele pune capăt neplăţii unei taxe rutiere.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i/>
                <w:sz w:val="20"/>
                <w:szCs w:val="20"/>
              </w:rPr>
            </w:pPr>
          </w:p>
        </w:tc>
        <w:tc>
          <w:tcPr>
            <w:tcW w:w="2909" w:type="dxa"/>
            <w:vMerge/>
            <w:tcBorders>
              <w:left w:val="single" w:sz="4" w:space="0" w:color="000000"/>
              <w:bottom w:val="single" w:sz="4" w:space="0" w:color="000000"/>
              <w:right w:val="single" w:sz="4" w:space="0" w:color="000000"/>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se asigură că datele furnizate entităţii responsabile sunt utilizate exclusiv în scopul obţinerii taxei rutiere datorate şi sunt şterse imediat după achitarea taxei rutiere sau, în cazul în care taxa rutieră nu a fost plătită, într-un termen rezonabil de la transferul datelor, care urmează să fie stabilit de statul membru.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C77EF8"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Transpus prin art 20 alin. (6) din proiectul de Ordonanta</w:t>
            </w: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26:</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Rapoartele statelor membre către Comisie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b/>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bookmarkStart w:id="19" w:name="_Hlk72755100"/>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Fiecare stat membru transmite Comisiei un raport cuprinzător până la 19 aprilie 2023 şi, ulterior, la fiecare trei ani.</w:t>
            </w:r>
          </w:p>
          <w:p w:rsidR="00BA487F" w:rsidRPr="009B18D9" w:rsidRDefault="00BA487F" w:rsidP="00D87DEC">
            <w:pPr>
              <w:widowControl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21 (1)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bookmarkStart w:id="20" w:name="do|caV|ar24|al1"/>
            <w:bookmarkEnd w:id="20"/>
            <w:r w:rsidRPr="009B18D9">
              <w:rPr>
                <w:rFonts w:ascii="Times New Roman" w:hAnsi="Times New Roman" w:cs="Times New Roman"/>
                <w:bCs/>
                <w:sz w:val="20"/>
                <w:szCs w:val="20"/>
              </w:rPr>
              <w:t>Ministerul Transporturilor și Infrastructurii întocmeşte și transmite Comisiei Europene, până la data de 19 aprilie 2023, și ulterior, la fiecare 3 ani, un raport care conţine următoarele:</w:t>
            </w:r>
            <w:bookmarkStart w:id="21" w:name="do|caV|ar24|al2|lia"/>
            <w:bookmarkStart w:id="22" w:name="do|caV|ar24|al2|lib"/>
            <w:bookmarkStart w:id="23" w:name="do|caV|ar24|al2|lic"/>
            <w:bookmarkStart w:id="24" w:name="do|caV|ar24|al2|lid"/>
            <w:bookmarkStart w:id="25" w:name="do|caV|ar24|al3|lia"/>
            <w:bookmarkStart w:id="26" w:name="do|caV|ar24|al3|lib"/>
            <w:bookmarkStart w:id="27" w:name="do|caV|ar24|al4"/>
            <w:bookmarkStart w:id="28" w:name="do|caV|ar24|al5"/>
            <w:bookmarkEnd w:id="21"/>
            <w:bookmarkEnd w:id="22"/>
            <w:bookmarkEnd w:id="23"/>
            <w:bookmarkEnd w:id="24"/>
            <w:bookmarkEnd w:id="25"/>
            <w:bookmarkEnd w:id="26"/>
            <w:bookmarkEnd w:id="27"/>
            <w:bookmarkEnd w:id="28"/>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5245" w:type="dxa"/>
            <w:vMerge w:val="restart"/>
            <w:tcBorders>
              <w:top w:val="single" w:sz="4" w:space="0" w:color="000000"/>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Respectivul raport cuprinzător indică numărul de căutări automate efectuate de statul membru pe al cărui teritoriu a avut loc neplata unei taxe rutiere şi adresate punctului naţional de contact al statului membru de înmatriculare în urma neplăţii taxelor rutiere care a avut loc pe teritoriul celui dintâi, precum şi numărul cererilor respinse.</w:t>
            </w:r>
          </w:p>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Raportul cuprinzător include şi o descriere a situaţiei de la nivel naţional în legătură cu măsurile ulterioare luate cu privire la neplata taxelor rutiere, pe baza proporţiei situaţiilor de neplată a unei taxe rutiere care au făcut obiectul unor scrisori de informare.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spacing w:after="0" w:line="259" w:lineRule="auto"/>
              <w:jc w:val="both"/>
              <w:rPr>
                <w:rFonts w:ascii="Times New Roman" w:hAnsi="Times New Roman" w:cs="Times New Roman"/>
                <w:b/>
                <w:bCs/>
                <w:sz w:val="20"/>
                <w:szCs w:val="20"/>
              </w:rPr>
            </w:pPr>
            <w:r w:rsidRPr="009B18D9">
              <w:rPr>
                <w:rFonts w:ascii="Times New Roman" w:hAnsi="Times New Roman" w:cs="Times New Roman"/>
                <w:sz w:val="20"/>
                <w:szCs w:val="20"/>
              </w:rPr>
              <w:t>numărul de căutari automate efectuate în sistemele de evidenţă ale statelor de înmatriculare și numărul cererilor respinse;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Del="00D84626" w:rsidRDefault="00BA487F" w:rsidP="00D87DEC">
            <w:pPr>
              <w:widowControl w:val="0"/>
              <w:spacing w:after="0" w:line="240" w:lineRule="auto"/>
              <w:jc w:val="center"/>
              <w:rPr>
                <w:rFonts w:ascii="Times New Roman" w:eastAsia="Times New Roman" w:hAnsi="Times New Roman" w:cs="Times New Roman"/>
                <w:sz w:val="20"/>
                <w:szCs w:val="20"/>
                <w:shd w:val="clear" w:color="auto" w:fill="FFFFFF"/>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5245" w:type="dxa"/>
            <w:vMerge/>
            <w:tcBorders>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b)</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spacing w:after="0" w:line="259" w:lineRule="auto"/>
              <w:jc w:val="both"/>
              <w:rPr>
                <w:rFonts w:ascii="Times New Roman" w:hAnsi="Times New Roman" w:cs="Times New Roman"/>
                <w:sz w:val="20"/>
                <w:szCs w:val="20"/>
              </w:rPr>
            </w:pPr>
            <w:r w:rsidRPr="009B18D9">
              <w:rPr>
                <w:rFonts w:ascii="Times New Roman" w:eastAsia="Calibri" w:hAnsi="Times New Roman" w:cs="Times New Roman"/>
                <w:sz w:val="20"/>
                <w:szCs w:val="20"/>
              </w:rPr>
              <w:t>numărul de sancțiuni aplicate ca urmare a neîndeplinirii obligațiilor de plată din scrisorile de informare, raportat la numărul total al scrisorilor de informare.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Del="00D84626" w:rsidRDefault="00BA487F" w:rsidP="00D87DEC">
            <w:pPr>
              <w:widowControl w:val="0"/>
              <w:spacing w:after="0" w:line="240" w:lineRule="auto"/>
              <w:jc w:val="center"/>
              <w:rPr>
                <w:rFonts w:ascii="Times New Roman" w:eastAsia="Times New Roman" w:hAnsi="Times New Roman" w:cs="Times New Roman"/>
                <w:sz w:val="20"/>
                <w:szCs w:val="20"/>
                <w:shd w:val="clear" w:color="auto" w:fill="FFFFFF"/>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Calibri" w:hAnsi="Times New Roman" w:cs="Times New Roman"/>
                <w:sz w:val="20"/>
                <w:szCs w:val="20"/>
              </w:rPr>
              <w:t>Art. 21 (2)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spacing w:after="0" w:line="259" w:lineRule="auto"/>
              <w:jc w:val="both"/>
              <w:rPr>
                <w:rFonts w:ascii="Times New Roman" w:hAnsi="Times New Roman" w:cs="Times New Roman"/>
                <w:sz w:val="20"/>
                <w:szCs w:val="20"/>
              </w:rPr>
            </w:pPr>
            <w:r w:rsidRPr="009B18D9">
              <w:rPr>
                <w:rFonts w:ascii="Times New Roman" w:hAnsi="Times New Roman" w:cs="Times New Roman"/>
                <w:sz w:val="20"/>
                <w:szCs w:val="20"/>
              </w:rPr>
              <w:t>Rapoartele prevăzute la alin. (1) se întocmesc pe baza informaţiilor colectate şi furnizate de către entitățile/ autoritățile din România care aplică tariful rutier.</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Del="00D84626" w:rsidRDefault="003D154D" w:rsidP="00D87DEC">
            <w:pPr>
              <w:widowControl w:val="0"/>
              <w:spacing w:after="0" w:line="240" w:lineRule="auto"/>
              <w:jc w:val="center"/>
              <w:rPr>
                <w:rFonts w:ascii="Times New Roman" w:eastAsia="Times New Roman" w:hAnsi="Times New Roman" w:cs="Times New Roman"/>
                <w:sz w:val="20"/>
                <w:szCs w:val="20"/>
                <w:shd w:val="clear" w:color="auto" w:fill="FFFFFF"/>
              </w:rPr>
            </w:pPr>
            <w:r w:rsidRPr="009B18D9">
              <w:rPr>
                <w:rFonts w:ascii="Times New Roman" w:eastAsia="Calibri" w:hAnsi="Times New Roman" w:cs="Times New Roman"/>
                <w:bCs/>
                <w:iCs/>
                <w:sz w:val="20"/>
                <w:szCs w:val="20"/>
              </w:rPr>
              <w:t>Prevedere suplimentară faţă de Directivă.</w:t>
            </w:r>
          </w:p>
        </w:tc>
      </w:tr>
      <w:bookmarkEnd w:id="19"/>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Art. 27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b/>
                <w:sz w:val="20"/>
                <w:szCs w:val="20"/>
                <w:shd w:val="clear" w:color="auto" w:fill="FFFFFF"/>
              </w:rPr>
              <w:t>Protecţia datelor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highlight w:val="lightGray"/>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highlight w:val="lightGray"/>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highlight w:val="lightGray"/>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Regulamentul (UE) </w:t>
            </w:r>
            <w:hyperlink r:id="rId27">
              <w:r w:rsidRPr="009B18D9">
                <w:rPr>
                  <w:rFonts w:ascii="Times New Roman" w:eastAsia="Times New Roman" w:hAnsi="Times New Roman" w:cs="Times New Roman"/>
                  <w:b/>
                  <w:sz w:val="20"/>
                  <w:szCs w:val="20"/>
                  <w:u w:val="single"/>
                  <w:shd w:val="clear" w:color="auto" w:fill="FFFFFF"/>
                </w:rPr>
                <w:t>2016/679</w:t>
              </w:r>
            </w:hyperlink>
            <w:r w:rsidRPr="009B18D9">
              <w:rPr>
                <w:rFonts w:ascii="Times New Roman" w:eastAsia="Times New Roman" w:hAnsi="Times New Roman" w:cs="Times New Roman"/>
                <w:sz w:val="20"/>
                <w:szCs w:val="20"/>
                <w:shd w:val="clear" w:color="auto" w:fill="FFFFFF"/>
              </w:rPr>
              <w:t xml:space="preserve"> şi actele cu putere de lege sau actele administrative de transpunere a Directivelor </w:t>
            </w:r>
            <w:hyperlink r:id="rId28">
              <w:r w:rsidRPr="009B18D9">
                <w:rPr>
                  <w:rFonts w:ascii="Times New Roman" w:eastAsia="Times New Roman" w:hAnsi="Times New Roman" w:cs="Times New Roman"/>
                  <w:b/>
                  <w:sz w:val="20"/>
                  <w:szCs w:val="20"/>
                  <w:u w:val="single"/>
                  <w:shd w:val="clear" w:color="auto" w:fill="FFFFFF"/>
                </w:rPr>
                <w:t>2002/58/CE</w:t>
              </w:r>
            </w:hyperlink>
            <w:r w:rsidRPr="009B18D9">
              <w:rPr>
                <w:rFonts w:ascii="Times New Roman" w:eastAsia="Times New Roman" w:hAnsi="Times New Roman" w:cs="Times New Roman"/>
                <w:sz w:val="20"/>
                <w:szCs w:val="20"/>
                <w:shd w:val="clear" w:color="auto" w:fill="FFFFFF"/>
              </w:rPr>
              <w:t xml:space="preserve"> şi (UE) </w:t>
            </w:r>
            <w:hyperlink r:id="rId29">
              <w:r w:rsidRPr="009B18D9">
                <w:rPr>
                  <w:rFonts w:ascii="Times New Roman" w:eastAsia="Times New Roman" w:hAnsi="Times New Roman" w:cs="Times New Roman"/>
                  <w:b/>
                  <w:sz w:val="20"/>
                  <w:szCs w:val="20"/>
                  <w:u w:val="single"/>
                  <w:shd w:val="clear" w:color="auto" w:fill="FFFFFF"/>
                </w:rPr>
                <w:t>2016/680</w:t>
              </w:r>
            </w:hyperlink>
            <w:r w:rsidRPr="009B18D9">
              <w:rPr>
                <w:rFonts w:ascii="Times New Roman" w:eastAsia="Times New Roman" w:hAnsi="Times New Roman" w:cs="Times New Roman"/>
                <w:sz w:val="20"/>
                <w:szCs w:val="20"/>
                <w:shd w:val="clear" w:color="auto" w:fill="FFFFFF"/>
              </w:rPr>
              <w:t xml:space="preserve"> se aplică datelor cu caracter personal prelucrate în temeiul prezentei directive.</w:t>
            </w:r>
          </w:p>
        </w:tc>
        <w:tc>
          <w:tcPr>
            <w:tcW w:w="1134" w:type="dxa"/>
            <w:vMerge w:val="restart"/>
            <w:tcBorders>
              <w:top w:val="single" w:sz="4" w:space="0" w:color="000000"/>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highlight w:val="lightGray"/>
              </w:rPr>
            </w:pPr>
            <w:r w:rsidRPr="009B18D9">
              <w:rPr>
                <w:rFonts w:ascii="Times New Roman" w:eastAsia="Calibri" w:hAnsi="Times New Roman" w:cs="Times New Roman"/>
                <w:sz w:val="20"/>
                <w:szCs w:val="20"/>
              </w:rPr>
              <w:t>Art. 22</w:t>
            </w:r>
          </w:p>
        </w:tc>
        <w:tc>
          <w:tcPr>
            <w:tcW w:w="4819" w:type="dxa"/>
            <w:vMerge w:val="restart"/>
            <w:tcBorders>
              <w:top w:val="single" w:sz="4" w:space="0" w:color="000000"/>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highlight w:val="lightGray"/>
              </w:rPr>
            </w:pPr>
            <w:r w:rsidRPr="009B18D9">
              <w:rPr>
                <w:rFonts w:ascii="Times New Roman" w:eastAsia="Calibri" w:hAnsi="Times New Roman" w:cs="Times New Roman"/>
                <w:sz w:val="20"/>
                <w:szCs w:val="20"/>
              </w:rPr>
              <w:t>Prelucrarea datelor cu caracter personal în baza prevederilor prezentei ordonanțe se realizează cu respectarea prevederilor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si completările ulterioare.</w:t>
            </w: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i/>
                <w:sz w:val="20"/>
                <w:szCs w:val="20"/>
                <w:highlight w:val="lightGray"/>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Statele membre iau măsurile necesare, în conformitate cu legislaţia aplicabilă privind protecţia datelor, pentru a se asigura că:</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prelucrarea datelor cu caracter personal în scopul articolelor 23, 24 şi 25 se limitează la tipurile de date enumerate în anexa I la prezenta directivă;</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i/>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datele cu caracter personal sunt exacte, actualizate şi cererile de rectificare sau de ştergere sunt tratate fără întârzieri nejustificate; şi</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este stabilit un termen pentru stocarea datelor cu caracter personal.</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Statele membre iau măsurile necesare pentru a se asigura că datele cu caracter personal prelucrate în temeiul prezentei directive sunt utilizate numai în următoarele scopuri:</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i/>
                <w:sz w:val="20"/>
                <w:szCs w:val="20"/>
              </w:rPr>
              <w:t>(a)</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identificarea persoanelor suspectate de contravenţii în vederea obligaţiei de a plăti taxe rutiere sub incidenţa articolului 5 alineatul (8);</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i/>
                <w:sz w:val="20"/>
                <w:szCs w:val="20"/>
              </w:rPr>
              <w:t>(b)</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asigurarea respectării de către entitatea care percepe taxele rutiere a obligaţiilor sale faţă de autorităţile fiscale sub incidenţa articolului 5 alineatul (9); şi</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i/>
                <w:sz w:val="20"/>
                <w:szCs w:val="20"/>
              </w:rPr>
              <w:t>( 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identificarea vehiculului şi a proprietarului sau deţinătorului vehiculului pentru care neplata unei taxe rutiere a fost stabilită sub incidenţa articolelor 23 şi 24.</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De asemenea, statele membre iau măsurile necesare pentru a se asigura că persoanele vizate au aceleaşi drepturi de informare, acces, rectificare, ştergere şi restricţie a prelucrării şi de depunere a unei plângeri la o autoritate de supraveghere a protecţiei datelor, de compensare, precum şi de acces la o cale de atac eficace, astfel cum se prevede în Regulamentul (UE) </w:t>
            </w:r>
            <w:hyperlink r:id="rId30">
              <w:r w:rsidRPr="009B18D9">
                <w:rPr>
                  <w:rFonts w:ascii="Times New Roman" w:eastAsia="Times New Roman" w:hAnsi="Times New Roman" w:cs="Times New Roman"/>
                  <w:b/>
                  <w:sz w:val="20"/>
                  <w:szCs w:val="20"/>
                  <w:u w:val="single"/>
                  <w:shd w:val="clear" w:color="auto" w:fill="FFFFFF"/>
                </w:rPr>
                <w:t>2016/679</w:t>
              </w:r>
            </w:hyperlink>
            <w:r w:rsidRPr="009B18D9">
              <w:rPr>
                <w:rFonts w:ascii="Times New Roman" w:eastAsia="Times New Roman" w:hAnsi="Times New Roman" w:cs="Times New Roman"/>
                <w:sz w:val="20"/>
                <w:szCs w:val="20"/>
                <w:shd w:val="clear" w:color="auto" w:fill="FFFFFF"/>
              </w:rPr>
              <w:t xml:space="preserve"> şi, după caz, în Directiva (UE) </w:t>
            </w:r>
            <w:hyperlink r:id="rId31">
              <w:r w:rsidRPr="009B18D9">
                <w:rPr>
                  <w:rFonts w:ascii="Times New Roman" w:eastAsia="Times New Roman" w:hAnsi="Times New Roman" w:cs="Times New Roman"/>
                  <w:b/>
                  <w:sz w:val="20"/>
                  <w:szCs w:val="20"/>
                  <w:u w:val="single"/>
                  <w:shd w:val="clear" w:color="auto" w:fill="FFFFFF"/>
                </w:rPr>
                <w:t>2016/680</w:t>
              </w:r>
            </w:hyperlink>
            <w:r w:rsidRPr="009B18D9">
              <w:rPr>
                <w:rFonts w:ascii="Times New Roman" w:eastAsia="Times New Roman" w:hAnsi="Times New Roman" w:cs="Times New Roman"/>
                <w:sz w:val="20"/>
                <w:szCs w:val="20"/>
                <w:shd w:val="clear" w:color="auto" w:fill="FFFFFF"/>
              </w:rPr>
              <w:t>.</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 xml:space="preserve">Prezentul articol nu afectează posibilitatea statelor membre de a restrânge domeniul de aplicare al obligaţiilor şi drepturilor prevăzute la anumite dispoziţii din Regulamentul (UE) </w:t>
            </w:r>
            <w:hyperlink r:id="rId32">
              <w:r w:rsidRPr="009B18D9">
                <w:rPr>
                  <w:rFonts w:ascii="Times New Roman" w:eastAsia="Times New Roman" w:hAnsi="Times New Roman" w:cs="Times New Roman"/>
                  <w:b/>
                  <w:sz w:val="20"/>
                  <w:szCs w:val="20"/>
                  <w:u w:val="single"/>
                  <w:shd w:val="clear" w:color="auto" w:fill="FFFFFF"/>
                </w:rPr>
                <w:t>2016/679</w:t>
              </w:r>
            </w:hyperlink>
            <w:r w:rsidRPr="009B18D9">
              <w:rPr>
                <w:rFonts w:ascii="Times New Roman" w:eastAsia="Times New Roman" w:hAnsi="Times New Roman" w:cs="Times New Roman"/>
                <w:sz w:val="20"/>
                <w:szCs w:val="20"/>
                <w:shd w:val="clear" w:color="auto" w:fill="FFFFFF"/>
              </w:rPr>
              <w:t>, în conformitate cu articolul 23 din regulamentul menţionat, în scopurile enumerate la alineatul (1) din articolul respectiv.</w:t>
            </w:r>
          </w:p>
        </w:tc>
        <w:tc>
          <w:tcPr>
            <w:tcW w:w="1134"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hAnsi="Times New Roman" w:cs="Times New Roman"/>
                <w:sz w:val="20"/>
                <w:szCs w:val="20"/>
              </w:rPr>
            </w:pPr>
            <w:r w:rsidRPr="009B18D9">
              <w:rPr>
                <w:rFonts w:ascii="Times New Roman" w:eastAsia="Times New Roman" w:hAnsi="Times New Roman" w:cs="Times New Roman"/>
                <w:sz w:val="20"/>
                <w:szCs w:val="20"/>
              </w:rPr>
              <w:lastRenderedPageBreak/>
              <w:t>(4)</w:t>
            </w:r>
          </w:p>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Toate persoanele vizate au dreptul să obţină, fără întârzieri nejustificate, informaţii cu privire la datele cu caracter personal înregistrate în statul membru de înmatriculare care au fost transmise statului membru în care a avut loc neplata unei taxe rutiere, inclusiv data solicitării şi autoritatea competentă din statul membru pe al cărui teritoriu a avut loc neplata unei taxe rutiere.</w:t>
            </w:r>
          </w:p>
        </w:tc>
        <w:tc>
          <w:tcPr>
            <w:tcW w:w="1134" w:type="dxa"/>
            <w:vMerge/>
            <w:tcBorders>
              <w:left w:val="single" w:sz="4" w:space="0" w:color="000000"/>
              <w:bottom w:val="single" w:sz="4" w:space="0" w:color="auto"/>
              <w:right w:val="single" w:sz="4" w:space="0" w:color="000000"/>
            </w:tcBorders>
            <w:shd w:val="clear" w:color="auto" w:fill="FFFFFF" w:themeFill="background1"/>
          </w:tcPr>
          <w:p w:rsidR="00BA487F" w:rsidRPr="009B18D9" w:rsidRDefault="00BA487F" w:rsidP="00D87DEC">
            <w:pPr>
              <w:widowControl w:val="0"/>
              <w:spacing w:after="0" w:line="240" w:lineRule="auto"/>
              <w:jc w:val="right"/>
              <w:rPr>
                <w:rFonts w:ascii="Times New Roman" w:eastAsia="Calibri" w:hAnsi="Times New Roman" w:cs="Times New Roman"/>
                <w:sz w:val="20"/>
                <w:szCs w:val="20"/>
              </w:rPr>
            </w:pPr>
          </w:p>
        </w:tc>
        <w:tc>
          <w:tcPr>
            <w:tcW w:w="4819" w:type="dxa"/>
            <w:vMerge/>
            <w:tcBorders>
              <w:left w:val="single" w:sz="4" w:space="0" w:color="000000"/>
              <w:bottom w:val="single" w:sz="4" w:space="0" w:color="auto"/>
              <w:right w:val="single" w:sz="4" w:space="0" w:color="000000"/>
            </w:tcBorders>
            <w:shd w:val="clear" w:color="auto" w:fill="FFFFFF" w:themeFill="background1"/>
          </w:tcPr>
          <w:p w:rsidR="00BA487F" w:rsidRPr="009B18D9" w:rsidRDefault="00BA487F"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A487F" w:rsidRPr="009B18D9" w:rsidRDefault="00BA487F"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28</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Raport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29</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Acte delegate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30</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Exercitarea delegarii de competente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Procedura comitetului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Transpunerea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3D154D" w:rsidRPr="009B18D9" w:rsidRDefault="003D154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bCs/>
                <w:sz w:val="20"/>
                <w:szCs w:val="20"/>
              </w:rPr>
              <w:t>Art. 23</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Anexa nr. 1 face parte integrantă din prezenta ordonanţă.</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bCs/>
                <w:iCs/>
                <w:sz w:val="20"/>
                <w:szCs w:val="20"/>
              </w:rPr>
              <w:t>Prevedere suplimentară faţă de Directivă</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 xml:space="preserve">Statele membre adoptă și publică, până la 19 octombrie 2021, actele cu putere de lege și actele administrative necesare pentru a se conforma articolelor 1-27 și anexelor I și II. Statele membre comunică de îndată Comisiei textul actelor respective. Statele membre aplică măsurile respective de la 19 octombrie 2021.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r w:rsidRPr="009B18D9">
              <w:rPr>
                <w:rFonts w:ascii="Times New Roman" w:hAnsi="Times New Roman" w:cs="Times New Roman"/>
                <w:bCs/>
                <w:sz w:val="20"/>
                <w:szCs w:val="20"/>
              </w:rPr>
              <w:t xml:space="preserve">Art. </w:t>
            </w:r>
            <w:bookmarkStart w:id="29" w:name="do|ar11|pa1"/>
            <w:bookmarkEnd w:id="29"/>
            <w:r w:rsidRPr="009B18D9">
              <w:rPr>
                <w:rFonts w:ascii="Times New Roman" w:hAnsi="Times New Roman" w:cs="Times New Roman"/>
                <w:bCs/>
                <w:sz w:val="20"/>
                <w:szCs w:val="20"/>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r w:rsidRPr="009B18D9">
              <w:rPr>
                <w:rFonts w:ascii="Times New Roman" w:hAnsi="Times New Roman" w:cs="Times New Roman"/>
                <w:sz w:val="20"/>
                <w:szCs w:val="20"/>
              </w:rPr>
              <w:t>Prezenta ordonanţă intră în vigoare la 30 de zile de la publicarea în Monitorul Oficial al României, Partea I.</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vMerge w:val="restart"/>
            <w:tcBorders>
              <w:top w:val="single" w:sz="4" w:space="0" w:color="auto"/>
              <w:left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Atunci când statele membre adoptă actele respective, acestea cuprind o trimitere la prezenta directivă sau sunt însoțite de o asemenea trimitere la data publicării lor oficiale. De asemenea, acestea conțin o mențiune care precizează că trimiterile, în cuprinsul actelor cu putere de lege și al actelor administrative în vigoare, la directiva abrogată prin prezenta directivă se interpretează ca trimiteri la prezenta directivă. Statele membre stabilesc modalitatea de efectuare a unei astfel de trimiteri și de formulare a unei astfel de mențiuni.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hAnsi="Times New Roman" w:cs="Times New Roman"/>
                <w:bCs/>
                <w:sz w:val="20"/>
                <w:szCs w:val="20"/>
              </w:rPr>
            </w:pPr>
            <w:r w:rsidRPr="009B18D9">
              <w:rPr>
                <w:rFonts w:ascii="Times New Roman" w:hAnsi="Times New Roman" w:cs="Times New Roman"/>
                <w:bCs/>
                <w:sz w:val="20"/>
                <w:szCs w:val="20"/>
              </w:rPr>
              <w:t>Art. 25</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 xml:space="preserve">Prezenta ordonanţă transpune </w:t>
            </w:r>
            <w:r w:rsidRPr="009B18D9">
              <w:rPr>
                <w:rFonts w:ascii="Times New Roman" w:hAnsi="Times New Roman" w:cs="Times New Roman"/>
                <w:bCs/>
                <w:sz w:val="20"/>
                <w:szCs w:val="20"/>
              </w:rPr>
              <w:t>Directiva (UE) 2019/520 a Parlamentului European și a Consiliului din 19 martie 2019 privind interoperabilitatea sistemelor de taxare rutieră electronică și facilitarea schimbului transfrontalier de informații cu privire la neplata taxelor rutiere în cadrul Uniunii</w:t>
            </w:r>
            <w:r w:rsidRPr="009B18D9">
              <w:rPr>
                <w:rFonts w:ascii="Times New Roman" w:hAnsi="Times New Roman" w:cs="Times New Roman"/>
                <w:sz w:val="20"/>
                <w:szCs w:val="20"/>
              </w:rPr>
              <w:t>, publicată în Jurnalul Oficial al Uniunii Europene, seria L, nr. 91 din 29 martie 2019.</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5245" w:type="dxa"/>
            <w:vMerge/>
            <w:tcBorders>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hAnsi="Times New Roman" w:cs="Times New Roman"/>
                <w:bCs/>
                <w:sz w:val="20"/>
                <w:szCs w:val="20"/>
              </w:rPr>
            </w:pPr>
            <w:r w:rsidRPr="009B18D9">
              <w:rPr>
                <w:rFonts w:ascii="Times New Roman" w:hAnsi="Times New Roman" w:cs="Times New Roman"/>
                <w:sz w:val="20"/>
                <w:szCs w:val="20"/>
              </w:rPr>
              <w:t>Art. 26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hAnsi="Times New Roman" w:cs="Times New Roman"/>
                <w:sz w:val="20"/>
                <w:szCs w:val="20"/>
              </w:rPr>
            </w:pPr>
            <w:r w:rsidRPr="009B18D9">
              <w:rPr>
                <w:rFonts w:ascii="Times New Roman" w:hAnsi="Times New Roman" w:cs="Times New Roman"/>
                <w:sz w:val="20"/>
                <w:szCs w:val="20"/>
              </w:rPr>
              <w:t>La data intrării în vigoare a prezentei ordonanțe se abrogă Ordonanţa Guvernului nr. 39/2007 privind interoperabilitatea sistemelor electronice de tarifare pentru utilizarea infrastructurii rutiere aprobată prin Legea nr. 157/2009 pentru aprobarea Ordonanţei Guvernului nr. 39/2007 privind interoperabilitatea sistemelor electronice de tarifare pentru utilizarea infrastructurii rutiere și Hotărârea Guvernului nr. 766/2014 privind aprobarea Normelor metodologice pentru punerea în aplicare a prevederilor Ordonanţei Guvernului nr. 39/2007 privind interoperabilitatea sistemelor electronice de tarifare pentru utilizarea infrastructurii rutiere.</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Comisiei îi sunt comunicate de către statele membre textele principalelor dispoziții de drept intern pe care le adoptă în domeniul reglementat de prezenta directivă.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Abrogare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Intrare in vigoare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rPr>
              <w:t>Art. 35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Destinatari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rPr>
            </w:pPr>
            <w:r w:rsidRPr="009B18D9">
              <w:rPr>
                <w:rFonts w:ascii="Times New Roman" w:eastAsia="Times New Roman" w:hAnsi="Times New Roman" w:cs="Times New Roman"/>
                <w:sz w:val="20"/>
                <w:szCs w:val="20"/>
                <w:shd w:val="clear" w:color="auto" w:fill="FFFFFF"/>
              </w:rPr>
              <w:lastRenderedPageBreak/>
              <w:t>Anexa 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Elementele de date necesare pentru efectuarea căutării automate menționate la articolul 23 alineatul (1)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Calibri" w:hAnsi="Times New Roman" w:cs="Times New Roman"/>
                <w:sz w:val="20"/>
                <w:szCs w:val="20"/>
              </w:rPr>
            </w:pPr>
            <w:r w:rsidRPr="009B18D9">
              <w:rPr>
                <w:rFonts w:ascii="Times New Roman" w:eastAsia="Times New Roman" w:hAnsi="Times New Roman" w:cs="Times New Roman"/>
                <w:sz w:val="20"/>
                <w:szCs w:val="20"/>
                <w:shd w:val="clear" w:color="auto" w:fill="FFFFFF"/>
              </w:rPr>
              <w:t>Anexa 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r w:rsidRPr="009B18D9">
              <w:rPr>
                <w:rFonts w:ascii="Times New Roman" w:eastAsia="Calibri" w:hAnsi="Times New Roman" w:cs="Times New Roman"/>
                <w:sz w:val="20"/>
                <w:szCs w:val="20"/>
              </w:rPr>
              <w:t>Structura și setul de date privind vehiculele și deţinătorii acestora necesare căutărilor automate și elementele de date furnizate ca rezultat al căutărilor automate</w:t>
            </w: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Anexa 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Modelul de scrisoare de informare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Va fi transpusa prin prin actul normativ care reglementează aplicarea tarifului rutier.</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Anexa III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Directiva abrogata cu modificarea sa / Termenul pentru transpunerea in dreptul intern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r w:rsidR="009B18D9" w:rsidRPr="009B18D9" w:rsidTr="008E68B2">
        <w:trPr>
          <w:gridAfter w:val="1"/>
          <w:wAfter w:w="7" w:type="dxa"/>
          <w:trHeight w:val="79"/>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Anexa IV</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Times New Roman" w:hAnsi="Times New Roman" w:cs="Times New Roman"/>
                <w:sz w:val="20"/>
                <w:szCs w:val="20"/>
                <w:shd w:val="clear" w:color="auto" w:fill="FFFFFF"/>
              </w:rPr>
            </w:pPr>
            <w:r w:rsidRPr="009B18D9">
              <w:rPr>
                <w:rFonts w:ascii="Times New Roman" w:eastAsia="Times New Roman" w:hAnsi="Times New Roman" w:cs="Times New Roman"/>
                <w:sz w:val="20"/>
                <w:szCs w:val="20"/>
                <w:shd w:val="clear" w:color="auto" w:fill="FFFFFF"/>
              </w:rPr>
              <w:t>Tabel de corespondenta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right"/>
              <w:rPr>
                <w:rFonts w:ascii="Times New Roman" w:eastAsia="Times New Roman" w:hAnsi="Times New Roman" w:cs="Times New Roman"/>
                <w:sz w:val="20"/>
                <w:szCs w:val="20"/>
                <w:shd w:val="clear" w:color="auto" w:fill="FFFFFF"/>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both"/>
              <w:rPr>
                <w:rFonts w:ascii="Times New Roman" w:eastAsia="Calibri" w:hAnsi="Times New Roman" w:cs="Times New Roman"/>
                <w:sz w:val="20"/>
                <w:szCs w:val="20"/>
              </w:rPr>
            </w:pPr>
          </w:p>
        </w:tc>
        <w:tc>
          <w:tcPr>
            <w:tcW w:w="2909" w:type="dxa"/>
            <w:tcBorders>
              <w:top w:val="single" w:sz="4" w:space="0" w:color="auto"/>
              <w:left w:val="single" w:sz="4" w:space="0" w:color="auto"/>
              <w:bottom w:val="single" w:sz="4" w:space="0" w:color="auto"/>
              <w:right w:val="single" w:sz="4" w:space="0" w:color="auto"/>
            </w:tcBorders>
            <w:shd w:val="clear" w:color="auto" w:fill="FFFFFF" w:themeFill="background1"/>
          </w:tcPr>
          <w:p w:rsidR="0074583D" w:rsidRPr="009B18D9" w:rsidRDefault="0074583D" w:rsidP="00D87DEC">
            <w:pPr>
              <w:widowControl w:val="0"/>
              <w:spacing w:after="0" w:line="240" w:lineRule="auto"/>
              <w:jc w:val="center"/>
              <w:rPr>
                <w:rFonts w:ascii="Times New Roman" w:eastAsia="Calibri" w:hAnsi="Times New Roman" w:cs="Times New Roman"/>
                <w:sz w:val="20"/>
                <w:szCs w:val="20"/>
              </w:rPr>
            </w:pPr>
            <w:r w:rsidRPr="009B18D9">
              <w:rPr>
                <w:rFonts w:ascii="Times New Roman" w:eastAsia="Calibri" w:hAnsi="Times New Roman" w:cs="Times New Roman"/>
                <w:sz w:val="20"/>
                <w:szCs w:val="20"/>
              </w:rPr>
              <w:t>Nu necesita transpunere</w:t>
            </w:r>
          </w:p>
        </w:tc>
      </w:tr>
    </w:tbl>
    <w:p w:rsidR="00AC263C" w:rsidRPr="009B18D9" w:rsidRDefault="00AC263C">
      <w:pPr>
        <w:spacing w:after="0" w:line="240" w:lineRule="auto"/>
        <w:rPr>
          <w:rFonts w:ascii="Times New Roman" w:eastAsia="Calibri" w:hAnsi="Times New Roman" w:cs="Times New Roman"/>
          <w:sz w:val="20"/>
          <w:szCs w:val="20"/>
        </w:rPr>
      </w:pPr>
    </w:p>
    <w:p w:rsidR="00720A92" w:rsidRPr="009B18D9" w:rsidRDefault="00720A92">
      <w:pPr>
        <w:spacing w:after="0" w:line="240" w:lineRule="auto"/>
        <w:rPr>
          <w:rFonts w:ascii="Times New Roman" w:eastAsia="Calibri" w:hAnsi="Times New Roman" w:cs="Times New Roman"/>
          <w:sz w:val="20"/>
          <w:szCs w:val="20"/>
        </w:rPr>
      </w:pPr>
    </w:p>
    <w:sectPr w:rsidR="00720A92" w:rsidRPr="009B18D9" w:rsidSect="00C70DB7">
      <w:footerReference w:type="default" r:id="rId33"/>
      <w:pgSz w:w="16838" w:h="11906" w:orient="landscape" w:code="9"/>
      <w:pgMar w:top="864" w:right="864" w:bottom="720" w:left="720" w:header="0" w:footer="14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0F" w:rsidRDefault="00A7060F">
      <w:pPr>
        <w:spacing w:after="0" w:line="240" w:lineRule="auto"/>
      </w:pPr>
      <w:r>
        <w:separator/>
      </w:r>
    </w:p>
  </w:endnote>
  <w:endnote w:type="continuationSeparator" w:id="0">
    <w:p w:rsidR="00A7060F" w:rsidRDefault="00A7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default"/>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52477"/>
      <w:docPartObj>
        <w:docPartGallery w:val="Page Numbers (Bottom of Page)"/>
        <w:docPartUnique/>
      </w:docPartObj>
    </w:sdtPr>
    <w:sdtEndPr/>
    <w:sdtContent>
      <w:p w:rsidR="00F54421" w:rsidRDefault="00F54421">
        <w:pPr>
          <w:pStyle w:val="Footer"/>
          <w:tabs>
            <w:tab w:val="clear" w:pos="4680"/>
            <w:tab w:val="center" w:pos="6840"/>
          </w:tabs>
          <w:rPr>
            <w:sz w:val="16"/>
            <w:szCs w:val="16"/>
            <w:lang w:val="ro-RO"/>
          </w:rPr>
        </w:pPr>
        <w:r>
          <w:rPr>
            <w:rStyle w:val="PageNumber"/>
            <w:sz w:val="10"/>
            <w:szCs w:val="10"/>
          </w:rPr>
          <w:fldChar w:fldCharType="begin"/>
        </w:r>
        <w:r>
          <w:rPr>
            <w:rStyle w:val="PageNumber"/>
            <w:sz w:val="10"/>
            <w:szCs w:val="10"/>
          </w:rPr>
          <w:instrText>FILENAME \p</w:instrText>
        </w:r>
        <w:r>
          <w:rPr>
            <w:rStyle w:val="PageNumber"/>
            <w:sz w:val="10"/>
            <w:szCs w:val="10"/>
          </w:rPr>
          <w:fldChar w:fldCharType="separate"/>
        </w:r>
        <w:r>
          <w:rPr>
            <w:rStyle w:val="PageNumber"/>
            <w:noProof/>
            <w:sz w:val="10"/>
            <w:szCs w:val="10"/>
          </w:rPr>
          <w:t>D:\desktop\520\Tabel Concordanta Directiva 520 24.05.2021.docx</w:t>
        </w:r>
        <w:r>
          <w:rPr>
            <w:rStyle w:val="PageNumber"/>
            <w:sz w:val="10"/>
            <w:szCs w:val="10"/>
          </w:rPr>
          <w:fldChar w:fldCharType="end"/>
        </w:r>
        <w:r>
          <w:rPr>
            <w:sz w:val="16"/>
            <w:szCs w:val="16"/>
            <w:lang w:val="ro-RO"/>
          </w:rPr>
          <w:tab/>
        </w:r>
        <w:r>
          <w:fldChar w:fldCharType="begin"/>
        </w:r>
        <w:r>
          <w:instrText>PAGE</w:instrText>
        </w:r>
        <w:r>
          <w:fldChar w:fldCharType="separate"/>
        </w:r>
        <w:r w:rsidR="00303943">
          <w:rPr>
            <w:noProof/>
          </w:rPr>
          <w:t>19</w:t>
        </w:r>
        <w:r>
          <w:fldChar w:fldCharType="end"/>
        </w:r>
      </w:p>
    </w:sdtContent>
  </w:sdt>
  <w:p w:rsidR="00F54421" w:rsidRDefault="00F54421">
    <w:pPr>
      <w:pStyle w:val="Footer"/>
      <w:tabs>
        <w:tab w:val="left" w:pos="6840"/>
      </w:tabs>
      <w:rPr>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0F" w:rsidRDefault="00A7060F">
      <w:pPr>
        <w:spacing w:after="0" w:line="240" w:lineRule="auto"/>
      </w:pPr>
      <w:r>
        <w:separator/>
      </w:r>
    </w:p>
  </w:footnote>
  <w:footnote w:type="continuationSeparator" w:id="0">
    <w:p w:rsidR="00A7060F" w:rsidRDefault="00A70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FF"/>
    <w:multiLevelType w:val="hybridMultilevel"/>
    <w:tmpl w:val="900EF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132E"/>
    <w:multiLevelType w:val="hybridMultilevel"/>
    <w:tmpl w:val="9ED02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27FB0"/>
    <w:multiLevelType w:val="hybridMultilevel"/>
    <w:tmpl w:val="13B0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47CF3"/>
    <w:multiLevelType w:val="hybridMultilevel"/>
    <w:tmpl w:val="1CF06986"/>
    <w:lvl w:ilvl="0" w:tplc="B61831E8">
      <w:start w:val="4"/>
      <w:numFmt w:val="bullet"/>
      <w:lvlText w:val="-"/>
      <w:lvlJc w:val="left"/>
      <w:pPr>
        <w:ind w:left="440" w:hanging="360"/>
      </w:pPr>
      <w:rPr>
        <w:rFonts w:ascii="Times New Roman" w:eastAsia="Calibri"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36B457F8"/>
    <w:multiLevelType w:val="hybridMultilevel"/>
    <w:tmpl w:val="160E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2200D"/>
    <w:multiLevelType w:val="hybridMultilevel"/>
    <w:tmpl w:val="AF1420A0"/>
    <w:lvl w:ilvl="0" w:tplc="C63C99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64C4"/>
    <w:multiLevelType w:val="hybridMultilevel"/>
    <w:tmpl w:val="E6888814"/>
    <w:lvl w:ilvl="0" w:tplc="D2386DD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67B58"/>
    <w:multiLevelType w:val="hybridMultilevel"/>
    <w:tmpl w:val="16C87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6130C"/>
    <w:multiLevelType w:val="hybridMultilevel"/>
    <w:tmpl w:val="BE18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F5C6A"/>
    <w:multiLevelType w:val="hybridMultilevel"/>
    <w:tmpl w:val="BEB00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A5EDB"/>
    <w:multiLevelType w:val="hybridMultilevel"/>
    <w:tmpl w:val="BBDA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3"/>
  </w:num>
  <w:num w:numId="6">
    <w:abstractNumId w:val="6"/>
  </w:num>
  <w:num w:numId="7">
    <w:abstractNumId w:val="9"/>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jE3MrW0MDMxMjVQ0lEKTi0uzszPAykwrQUAg5plBSwAAAA="/>
  </w:docVars>
  <w:rsids>
    <w:rsidRoot w:val="00AC263C"/>
    <w:rsid w:val="000023F7"/>
    <w:rsid w:val="00004C2B"/>
    <w:rsid w:val="00005302"/>
    <w:rsid w:val="00013AD2"/>
    <w:rsid w:val="00017111"/>
    <w:rsid w:val="000177DF"/>
    <w:rsid w:val="00020DF3"/>
    <w:rsid w:val="00021B78"/>
    <w:rsid w:val="00022347"/>
    <w:rsid w:val="00024B64"/>
    <w:rsid w:val="00025FF3"/>
    <w:rsid w:val="000264E0"/>
    <w:rsid w:val="000276D7"/>
    <w:rsid w:val="00027D36"/>
    <w:rsid w:val="0003163E"/>
    <w:rsid w:val="00037BD2"/>
    <w:rsid w:val="00037D7A"/>
    <w:rsid w:val="00047C92"/>
    <w:rsid w:val="000526CE"/>
    <w:rsid w:val="00052E58"/>
    <w:rsid w:val="00066958"/>
    <w:rsid w:val="00070AF0"/>
    <w:rsid w:val="000747A0"/>
    <w:rsid w:val="00076D3C"/>
    <w:rsid w:val="0008185B"/>
    <w:rsid w:val="0008240C"/>
    <w:rsid w:val="0008340E"/>
    <w:rsid w:val="0008547A"/>
    <w:rsid w:val="00087A60"/>
    <w:rsid w:val="000904FF"/>
    <w:rsid w:val="00090CBE"/>
    <w:rsid w:val="000959EA"/>
    <w:rsid w:val="00095EA1"/>
    <w:rsid w:val="00097645"/>
    <w:rsid w:val="000976A7"/>
    <w:rsid w:val="000A0590"/>
    <w:rsid w:val="000A4A23"/>
    <w:rsid w:val="000A4E23"/>
    <w:rsid w:val="000B0C1E"/>
    <w:rsid w:val="000B2946"/>
    <w:rsid w:val="000C6241"/>
    <w:rsid w:val="000D1D94"/>
    <w:rsid w:val="000D3440"/>
    <w:rsid w:val="000D50A5"/>
    <w:rsid w:val="000E2DB3"/>
    <w:rsid w:val="000E36F3"/>
    <w:rsid w:val="000F33A2"/>
    <w:rsid w:val="000F4C47"/>
    <w:rsid w:val="000F5A50"/>
    <w:rsid w:val="000F7A51"/>
    <w:rsid w:val="00101663"/>
    <w:rsid w:val="00106A3A"/>
    <w:rsid w:val="00107A8E"/>
    <w:rsid w:val="00112C08"/>
    <w:rsid w:val="00114522"/>
    <w:rsid w:val="00116EDA"/>
    <w:rsid w:val="00117D8B"/>
    <w:rsid w:val="0012100F"/>
    <w:rsid w:val="0012106B"/>
    <w:rsid w:val="001225D8"/>
    <w:rsid w:val="00130C8A"/>
    <w:rsid w:val="00131757"/>
    <w:rsid w:val="00134D08"/>
    <w:rsid w:val="00137ABB"/>
    <w:rsid w:val="001400A5"/>
    <w:rsid w:val="0014057F"/>
    <w:rsid w:val="001448F7"/>
    <w:rsid w:val="0014518A"/>
    <w:rsid w:val="00147402"/>
    <w:rsid w:val="0015203B"/>
    <w:rsid w:val="00160EAB"/>
    <w:rsid w:val="001611C6"/>
    <w:rsid w:val="0016382B"/>
    <w:rsid w:val="00164812"/>
    <w:rsid w:val="00164F48"/>
    <w:rsid w:val="00166796"/>
    <w:rsid w:val="00176F51"/>
    <w:rsid w:val="00183475"/>
    <w:rsid w:val="0018382E"/>
    <w:rsid w:val="0018490C"/>
    <w:rsid w:val="00185D4E"/>
    <w:rsid w:val="00185FF2"/>
    <w:rsid w:val="001903C1"/>
    <w:rsid w:val="0019270A"/>
    <w:rsid w:val="001936D8"/>
    <w:rsid w:val="001A0B3F"/>
    <w:rsid w:val="001A54FA"/>
    <w:rsid w:val="001A6FFB"/>
    <w:rsid w:val="001B0844"/>
    <w:rsid w:val="001B2843"/>
    <w:rsid w:val="001B285A"/>
    <w:rsid w:val="001B4580"/>
    <w:rsid w:val="001B7D30"/>
    <w:rsid w:val="001C0103"/>
    <w:rsid w:val="001C03FE"/>
    <w:rsid w:val="001C1AAE"/>
    <w:rsid w:val="001C24CA"/>
    <w:rsid w:val="001C266E"/>
    <w:rsid w:val="001C5BAB"/>
    <w:rsid w:val="001C6D2F"/>
    <w:rsid w:val="001C7213"/>
    <w:rsid w:val="001D26B9"/>
    <w:rsid w:val="001D78C4"/>
    <w:rsid w:val="001E1ECF"/>
    <w:rsid w:val="001E3668"/>
    <w:rsid w:val="001E4D67"/>
    <w:rsid w:val="001E5B68"/>
    <w:rsid w:val="001F1167"/>
    <w:rsid w:val="001F43BF"/>
    <w:rsid w:val="001F7B33"/>
    <w:rsid w:val="0020066B"/>
    <w:rsid w:val="00200B66"/>
    <w:rsid w:val="00202E27"/>
    <w:rsid w:val="00204695"/>
    <w:rsid w:val="002068BE"/>
    <w:rsid w:val="0021119A"/>
    <w:rsid w:val="00214424"/>
    <w:rsid w:val="00214EF4"/>
    <w:rsid w:val="0021756B"/>
    <w:rsid w:val="00220C0D"/>
    <w:rsid w:val="0022124D"/>
    <w:rsid w:val="00226B48"/>
    <w:rsid w:val="002273E8"/>
    <w:rsid w:val="0022787B"/>
    <w:rsid w:val="002314E7"/>
    <w:rsid w:val="0023346F"/>
    <w:rsid w:val="00233F15"/>
    <w:rsid w:val="002424B0"/>
    <w:rsid w:val="00242837"/>
    <w:rsid w:val="00243310"/>
    <w:rsid w:val="00253B37"/>
    <w:rsid w:val="00256753"/>
    <w:rsid w:val="00256A42"/>
    <w:rsid w:val="00260B9B"/>
    <w:rsid w:val="00262A06"/>
    <w:rsid w:val="00263E6F"/>
    <w:rsid w:val="00264A13"/>
    <w:rsid w:val="00271B17"/>
    <w:rsid w:val="002740BD"/>
    <w:rsid w:val="00276D19"/>
    <w:rsid w:val="00277C52"/>
    <w:rsid w:val="002809CC"/>
    <w:rsid w:val="00280FEF"/>
    <w:rsid w:val="002847A2"/>
    <w:rsid w:val="00292784"/>
    <w:rsid w:val="002936F8"/>
    <w:rsid w:val="002A26F6"/>
    <w:rsid w:val="002A3EFE"/>
    <w:rsid w:val="002A4ABD"/>
    <w:rsid w:val="002B089D"/>
    <w:rsid w:val="002B58F4"/>
    <w:rsid w:val="002B70EC"/>
    <w:rsid w:val="002B729D"/>
    <w:rsid w:val="002C1EAE"/>
    <w:rsid w:val="002C6EEE"/>
    <w:rsid w:val="002C732B"/>
    <w:rsid w:val="002C7A39"/>
    <w:rsid w:val="002D02E8"/>
    <w:rsid w:val="002D2B3B"/>
    <w:rsid w:val="002D2DC9"/>
    <w:rsid w:val="002D6EE6"/>
    <w:rsid w:val="002D738E"/>
    <w:rsid w:val="002E27A4"/>
    <w:rsid w:val="002E3C64"/>
    <w:rsid w:val="002E45CD"/>
    <w:rsid w:val="002E647A"/>
    <w:rsid w:val="002E6D71"/>
    <w:rsid w:val="002E7656"/>
    <w:rsid w:val="002F7309"/>
    <w:rsid w:val="00301608"/>
    <w:rsid w:val="00303943"/>
    <w:rsid w:val="00303959"/>
    <w:rsid w:val="0031363F"/>
    <w:rsid w:val="00321C1A"/>
    <w:rsid w:val="0032284E"/>
    <w:rsid w:val="00326614"/>
    <w:rsid w:val="00336335"/>
    <w:rsid w:val="00337503"/>
    <w:rsid w:val="00341C5C"/>
    <w:rsid w:val="00342DA6"/>
    <w:rsid w:val="00342E94"/>
    <w:rsid w:val="0034586A"/>
    <w:rsid w:val="00347F5D"/>
    <w:rsid w:val="00350286"/>
    <w:rsid w:val="00353A93"/>
    <w:rsid w:val="003542B2"/>
    <w:rsid w:val="00357371"/>
    <w:rsid w:val="00360A21"/>
    <w:rsid w:val="00363EC8"/>
    <w:rsid w:val="00372186"/>
    <w:rsid w:val="00372C3C"/>
    <w:rsid w:val="00372D45"/>
    <w:rsid w:val="00373666"/>
    <w:rsid w:val="003820DA"/>
    <w:rsid w:val="00382650"/>
    <w:rsid w:val="00382782"/>
    <w:rsid w:val="00382FD6"/>
    <w:rsid w:val="0038406B"/>
    <w:rsid w:val="00391FD5"/>
    <w:rsid w:val="003934D8"/>
    <w:rsid w:val="00396369"/>
    <w:rsid w:val="00396541"/>
    <w:rsid w:val="003A1B27"/>
    <w:rsid w:val="003A28EE"/>
    <w:rsid w:val="003A7B5A"/>
    <w:rsid w:val="003B218C"/>
    <w:rsid w:val="003B2B60"/>
    <w:rsid w:val="003B460F"/>
    <w:rsid w:val="003C210E"/>
    <w:rsid w:val="003C3079"/>
    <w:rsid w:val="003C5E42"/>
    <w:rsid w:val="003D154D"/>
    <w:rsid w:val="003D20FF"/>
    <w:rsid w:val="003D3C73"/>
    <w:rsid w:val="003D4C4F"/>
    <w:rsid w:val="003D5108"/>
    <w:rsid w:val="003D7601"/>
    <w:rsid w:val="003E4064"/>
    <w:rsid w:val="003F0411"/>
    <w:rsid w:val="003F37EB"/>
    <w:rsid w:val="003F4764"/>
    <w:rsid w:val="004001D4"/>
    <w:rsid w:val="00400EC6"/>
    <w:rsid w:val="00406F2D"/>
    <w:rsid w:val="004107E8"/>
    <w:rsid w:val="004113A5"/>
    <w:rsid w:val="004134F5"/>
    <w:rsid w:val="00414FBE"/>
    <w:rsid w:val="004176E2"/>
    <w:rsid w:val="00424202"/>
    <w:rsid w:val="004255A2"/>
    <w:rsid w:val="00427B70"/>
    <w:rsid w:val="004329E1"/>
    <w:rsid w:val="00433C4F"/>
    <w:rsid w:val="0044170C"/>
    <w:rsid w:val="0044369A"/>
    <w:rsid w:val="00443BB7"/>
    <w:rsid w:val="00445919"/>
    <w:rsid w:val="00445EF3"/>
    <w:rsid w:val="00452D8C"/>
    <w:rsid w:val="00456C14"/>
    <w:rsid w:val="0046101A"/>
    <w:rsid w:val="004621E1"/>
    <w:rsid w:val="00463117"/>
    <w:rsid w:val="0046357A"/>
    <w:rsid w:val="00465AB2"/>
    <w:rsid w:val="004715A2"/>
    <w:rsid w:val="00476999"/>
    <w:rsid w:val="004800F6"/>
    <w:rsid w:val="0048251D"/>
    <w:rsid w:val="00483911"/>
    <w:rsid w:val="00483F9F"/>
    <w:rsid w:val="00487D87"/>
    <w:rsid w:val="00490D5A"/>
    <w:rsid w:val="004A006A"/>
    <w:rsid w:val="004A1223"/>
    <w:rsid w:val="004A3BE1"/>
    <w:rsid w:val="004B68A7"/>
    <w:rsid w:val="004C2176"/>
    <w:rsid w:val="004C4627"/>
    <w:rsid w:val="004C46FE"/>
    <w:rsid w:val="004C703C"/>
    <w:rsid w:val="004C7170"/>
    <w:rsid w:val="004E086E"/>
    <w:rsid w:val="004E0B3D"/>
    <w:rsid w:val="004E33F7"/>
    <w:rsid w:val="004E62D1"/>
    <w:rsid w:val="004F03AB"/>
    <w:rsid w:val="004F041F"/>
    <w:rsid w:val="004F1D61"/>
    <w:rsid w:val="004F20F5"/>
    <w:rsid w:val="004F431E"/>
    <w:rsid w:val="004F451C"/>
    <w:rsid w:val="004F5DC4"/>
    <w:rsid w:val="00502392"/>
    <w:rsid w:val="005049F2"/>
    <w:rsid w:val="00504AE9"/>
    <w:rsid w:val="00505763"/>
    <w:rsid w:val="00507ED3"/>
    <w:rsid w:val="005123C1"/>
    <w:rsid w:val="005157AD"/>
    <w:rsid w:val="00523229"/>
    <w:rsid w:val="00530046"/>
    <w:rsid w:val="0053148C"/>
    <w:rsid w:val="005335EB"/>
    <w:rsid w:val="0053679B"/>
    <w:rsid w:val="00543FEE"/>
    <w:rsid w:val="00544ADC"/>
    <w:rsid w:val="00544B83"/>
    <w:rsid w:val="00545864"/>
    <w:rsid w:val="00551401"/>
    <w:rsid w:val="005539D0"/>
    <w:rsid w:val="00556DE3"/>
    <w:rsid w:val="00564552"/>
    <w:rsid w:val="005668E1"/>
    <w:rsid w:val="00572F7D"/>
    <w:rsid w:val="00574089"/>
    <w:rsid w:val="00583C52"/>
    <w:rsid w:val="00584D70"/>
    <w:rsid w:val="005921D8"/>
    <w:rsid w:val="00592C5F"/>
    <w:rsid w:val="005936AB"/>
    <w:rsid w:val="0059407C"/>
    <w:rsid w:val="00594F1E"/>
    <w:rsid w:val="0059506B"/>
    <w:rsid w:val="005977D2"/>
    <w:rsid w:val="005A0C85"/>
    <w:rsid w:val="005A1C8C"/>
    <w:rsid w:val="005A230F"/>
    <w:rsid w:val="005A242B"/>
    <w:rsid w:val="005A2B0E"/>
    <w:rsid w:val="005A74D9"/>
    <w:rsid w:val="005B13FA"/>
    <w:rsid w:val="005B22C9"/>
    <w:rsid w:val="005B4238"/>
    <w:rsid w:val="005C4E86"/>
    <w:rsid w:val="005C5743"/>
    <w:rsid w:val="005D1003"/>
    <w:rsid w:val="005D1A4C"/>
    <w:rsid w:val="005D1D16"/>
    <w:rsid w:val="005D67E1"/>
    <w:rsid w:val="005D7058"/>
    <w:rsid w:val="005E22E3"/>
    <w:rsid w:val="005F248C"/>
    <w:rsid w:val="005F4D0E"/>
    <w:rsid w:val="005F647F"/>
    <w:rsid w:val="0060176D"/>
    <w:rsid w:val="00601EB7"/>
    <w:rsid w:val="00602E2F"/>
    <w:rsid w:val="006063E8"/>
    <w:rsid w:val="006068BC"/>
    <w:rsid w:val="006069FB"/>
    <w:rsid w:val="006071B5"/>
    <w:rsid w:val="00610C52"/>
    <w:rsid w:val="00612669"/>
    <w:rsid w:val="00616471"/>
    <w:rsid w:val="00623722"/>
    <w:rsid w:val="00630685"/>
    <w:rsid w:val="00636E01"/>
    <w:rsid w:val="006370FF"/>
    <w:rsid w:val="006378AF"/>
    <w:rsid w:val="006402E9"/>
    <w:rsid w:val="00641919"/>
    <w:rsid w:val="00643852"/>
    <w:rsid w:val="00645021"/>
    <w:rsid w:val="00651678"/>
    <w:rsid w:val="00661329"/>
    <w:rsid w:val="006630D7"/>
    <w:rsid w:val="00663350"/>
    <w:rsid w:val="00663C75"/>
    <w:rsid w:val="006702D5"/>
    <w:rsid w:val="00671EEC"/>
    <w:rsid w:val="006833B8"/>
    <w:rsid w:val="006843D2"/>
    <w:rsid w:val="00694E08"/>
    <w:rsid w:val="00697F54"/>
    <w:rsid w:val="006A7523"/>
    <w:rsid w:val="006B340A"/>
    <w:rsid w:val="006B3A16"/>
    <w:rsid w:val="006B7593"/>
    <w:rsid w:val="006C1D7F"/>
    <w:rsid w:val="006C55ED"/>
    <w:rsid w:val="006D1499"/>
    <w:rsid w:val="006D3516"/>
    <w:rsid w:val="006D4860"/>
    <w:rsid w:val="006E03E2"/>
    <w:rsid w:val="006E0F8A"/>
    <w:rsid w:val="006E1323"/>
    <w:rsid w:val="006E1533"/>
    <w:rsid w:val="006E15DE"/>
    <w:rsid w:val="006F0271"/>
    <w:rsid w:val="006F5765"/>
    <w:rsid w:val="006F5E87"/>
    <w:rsid w:val="006F6C21"/>
    <w:rsid w:val="006F749D"/>
    <w:rsid w:val="006F7759"/>
    <w:rsid w:val="006F7AF2"/>
    <w:rsid w:val="006F7C3E"/>
    <w:rsid w:val="007041CF"/>
    <w:rsid w:val="0070776F"/>
    <w:rsid w:val="00714862"/>
    <w:rsid w:val="00714E40"/>
    <w:rsid w:val="00716BCA"/>
    <w:rsid w:val="00720A92"/>
    <w:rsid w:val="00724421"/>
    <w:rsid w:val="007244E1"/>
    <w:rsid w:val="00725374"/>
    <w:rsid w:val="00726AC6"/>
    <w:rsid w:val="0073229B"/>
    <w:rsid w:val="0073310E"/>
    <w:rsid w:val="00737E5D"/>
    <w:rsid w:val="00742DB0"/>
    <w:rsid w:val="007446F5"/>
    <w:rsid w:val="0074583D"/>
    <w:rsid w:val="00745AD6"/>
    <w:rsid w:val="00754F79"/>
    <w:rsid w:val="0075548A"/>
    <w:rsid w:val="00755C22"/>
    <w:rsid w:val="0075736E"/>
    <w:rsid w:val="0076268C"/>
    <w:rsid w:val="00762F90"/>
    <w:rsid w:val="00765D1D"/>
    <w:rsid w:val="007725F7"/>
    <w:rsid w:val="00772FA5"/>
    <w:rsid w:val="00775D5B"/>
    <w:rsid w:val="007804F8"/>
    <w:rsid w:val="007816DA"/>
    <w:rsid w:val="00783BE2"/>
    <w:rsid w:val="00793B94"/>
    <w:rsid w:val="0079730D"/>
    <w:rsid w:val="007A4231"/>
    <w:rsid w:val="007A5115"/>
    <w:rsid w:val="007A613B"/>
    <w:rsid w:val="007B25CF"/>
    <w:rsid w:val="007B40C8"/>
    <w:rsid w:val="007B477E"/>
    <w:rsid w:val="007C0CEE"/>
    <w:rsid w:val="007C3170"/>
    <w:rsid w:val="007C4B4C"/>
    <w:rsid w:val="007D31EA"/>
    <w:rsid w:val="007D770E"/>
    <w:rsid w:val="007E217B"/>
    <w:rsid w:val="007E49AD"/>
    <w:rsid w:val="007E5F88"/>
    <w:rsid w:val="007E710F"/>
    <w:rsid w:val="007E7565"/>
    <w:rsid w:val="007F0A67"/>
    <w:rsid w:val="007F3623"/>
    <w:rsid w:val="00802388"/>
    <w:rsid w:val="00807EF9"/>
    <w:rsid w:val="00810E24"/>
    <w:rsid w:val="008238FF"/>
    <w:rsid w:val="00824F6C"/>
    <w:rsid w:val="00825823"/>
    <w:rsid w:val="008278F0"/>
    <w:rsid w:val="00836E89"/>
    <w:rsid w:val="008402BB"/>
    <w:rsid w:val="008410F1"/>
    <w:rsid w:val="008432D3"/>
    <w:rsid w:val="00843EC0"/>
    <w:rsid w:val="00846603"/>
    <w:rsid w:val="00847857"/>
    <w:rsid w:val="008505E7"/>
    <w:rsid w:val="00850C0A"/>
    <w:rsid w:val="0085103C"/>
    <w:rsid w:val="00852E35"/>
    <w:rsid w:val="00853B8D"/>
    <w:rsid w:val="0085416F"/>
    <w:rsid w:val="00856178"/>
    <w:rsid w:val="00856499"/>
    <w:rsid w:val="00860E6F"/>
    <w:rsid w:val="00863D87"/>
    <w:rsid w:val="008669D7"/>
    <w:rsid w:val="008813E9"/>
    <w:rsid w:val="0088165E"/>
    <w:rsid w:val="00881C48"/>
    <w:rsid w:val="0088596B"/>
    <w:rsid w:val="00894D76"/>
    <w:rsid w:val="0089721E"/>
    <w:rsid w:val="0089737A"/>
    <w:rsid w:val="008A0415"/>
    <w:rsid w:val="008A1CA5"/>
    <w:rsid w:val="008A59FF"/>
    <w:rsid w:val="008A61AE"/>
    <w:rsid w:val="008B5090"/>
    <w:rsid w:val="008B7E36"/>
    <w:rsid w:val="008C1362"/>
    <w:rsid w:val="008C3589"/>
    <w:rsid w:val="008C792B"/>
    <w:rsid w:val="008D0B22"/>
    <w:rsid w:val="008D6482"/>
    <w:rsid w:val="008E640A"/>
    <w:rsid w:val="008E68B2"/>
    <w:rsid w:val="008F3B85"/>
    <w:rsid w:val="008F4222"/>
    <w:rsid w:val="008F63D3"/>
    <w:rsid w:val="008F6BBE"/>
    <w:rsid w:val="00904DAF"/>
    <w:rsid w:val="009147B8"/>
    <w:rsid w:val="009204EF"/>
    <w:rsid w:val="00920F49"/>
    <w:rsid w:val="0092227A"/>
    <w:rsid w:val="009251CD"/>
    <w:rsid w:val="009255B5"/>
    <w:rsid w:val="009272A3"/>
    <w:rsid w:val="009278FD"/>
    <w:rsid w:val="00927C7E"/>
    <w:rsid w:val="00932402"/>
    <w:rsid w:val="0094586A"/>
    <w:rsid w:val="00950CEC"/>
    <w:rsid w:val="0095265C"/>
    <w:rsid w:val="00954D57"/>
    <w:rsid w:val="0095542C"/>
    <w:rsid w:val="009607F2"/>
    <w:rsid w:val="00961D06"/>
    <w:rsid w:val="00963E39"/>
    <w:rsid w:val="00977E58"/>
    <w:rsid w:val="00985A91"/>
    <w:rsid w:val="00987E35"/>
    <w:rsid w:val="00992280"/>
    <w:rsid w:val="009945FC"/>
    <w:rsid w:val="009A208E"/>
    <w:rsid w:val="009A241F"/>
    <w:rsid w:val="009A417E"/>
    <w:rsid w:val="009A759A"/>
    <w:rsid w:val="009B18D9"/>
    <w:rsid w:val="009B31DB"/>
    <w:rsid w:val="009B64A1"/>
    <w:rsid w:val="009C13DB"/>
    <w:rsid w:val="009C272B"/>
    <w:rsid w:val="009C3492"/>
    <w:rsid w:val="009C3A74"/>
    <w:rsid w:val="009D2A34"/>
    <w:rsid w:val="009D2A69"/>
    <w:rsid w:val="009D354E"/>
    <w:rsid w:val="009D5251"/>
    <w:rsid w:val="009D59FA"/>
    <w:rsid w:val="009D606B"/>
    <w:rsid w:val="009E1DDC"/>
    <w:rsid w:val="009E2773"/>
    <w:rsid w:val="009F4D79"/>
    <w:rsid w:val="00A04837"/>
    <w:rsid w:val="00A06D97"/>
    <w:rsid w:val="00A12137"/>
    <w:rsid w:val="00A1292A"/>
    <w:rsid w:val="00A156D6"/>
    <w:rsid w:val="00A27ADD"/>
    <w:rsid w:val="00A313E2"/>
    <w:rsid w:val="00A32DF2"/>
    <w:rsid w:val="00A335A3"/>
    <w:rsid w:val="00A420CD"/>
    <w:rsid w:val="00A44543"/>
    <w:rsid w:val="00A50A03"/>
    <w:rsid w:val="00A5567C"/>
    <w:rsid w:val="00A5598D"/>
    <w:rsid w:val="00A55C9B"/>
    <w:rsid w:val="00A56473"/>
    <w:rsid w:val="00A57115"/>
    <w:rsid w:val="00A635B5"/>
    <w:rsid w:val="00A63BFB"/>
    <w:rsid w:val="00A63C91"/>
    <w:rsid w:val="00A6428B"/>
    <w:rsid w:val="00A648AE"/>
    <w:rsid w:val="00A65B64"/>
    <w:rsid w:val="00A7060F"/>
    <w:rsid w:val="00A73180"/>
    <w:rsid w:val="00A77372"/>
    <w:rsid w:val="00A81A89"/>
    <w:rsid w:val="00A823C5"/>
    <w:rsid w:val="00A82997"/>
    <w:rsid w:val="00A82E80"/>
    <w:rsid w:val="00A90374"/>
    <w:rsid w:val="00A9179C"/>
    <w:rsid w:val="00A91C42"/>
    <w:rsid w:val="00A93C33"/>
    <w:rsid w:val="00A95D55"/>
    <w:rsid w:val="00A96BF8"/>
    <w:rsid w:val="00A9771C"/>
    <w:rsid w:val="00A97F87"/>
    <w:rsid w:val="00AA1CE0"/>
    <w:rsid w:val="00AA2ACC"/>
    <w:rsid w:val="00AB23C4"/>
    <w:rsid w:val="00AB4114"/>
    <w:rsid w:val="00AB4255"/>
    <w:rsid w:val="00AB46E3"/>
    <w:rsid w:val="00AB4CAE"/>
    <w:rsid w:val="00AB631D"/>
    <w:rsid w:val="00AC0E8A"/>
    <w:rsid w:val="00AC0F8B"/>
    <w:rsid w:val="00AC263C"/>
    <w:rsid w:val="00AD1D82"/>
    <w:rsid w:val="00AD46C2"/>
    <w:rsid w:val="00AD643D"/>
    <w:rsid w:val="00AD7B3A"/>
    <w:rsid w:val="00AE0325"/>
    <w:rsid w:val="00AE3997"/>
    <w:rsid w:val="00AF143B"/>
    <w:rsid w:val="00AF7B43"/>
    <w:rsid w:val="00B01D2F"/>
    <w:rsid w:val="00B0430A"/>
    <w:rsid w:val="00B04535"/>
    <w:rsid w:val="00B04D6D"/>
    <w:rsid w:val="00B11B42"/>
    <w:rsid w:val="00B13EE4"/>
    <w:rsid w:val="00B1486D"/>
    <w:rsid w:val="00B16409"/>
    <w:rsid w:val="00B23ADF"/>
    <w:rsid w:val="00B23CB6"/>
    <w:rsid w:val="00B32403"/>
    <w:rsid w:val="00B348D6"/>
    <w:rsid w:val="00B35366"/>
    <w:rsid w:val="00B36E4F"/>
    <w:rsid w:val="00B42FA5"/>
    <w:rsid w:val="00B431E8"/>
    <w:rsid w:val="00B505F1"/>
    <w:rsid w:val="00B57E9D"/>
    <w:rsid w:val="00B63297"/>
    <w:rsid w:val="00B67CEC"/>
    <w:rsid w:val="00B752F9"/>
    <w:rsid w:val="00B75FBC"/>
    <w:rsid w:val="00B80AC1"/>
    <w:rsid w:val="00B82723"/>
    <w:rsid w:val="00B84667"/>
    <w:rsid w:val="00B87778"/>
    <w:rsid w:val="00B901FF"/>
    <w:rsid w:val="00B92705"/>
    <w:rsid w:val="00B94EEB"/>
    <w:rsid w:val="00BA0933"/>
    <w:rsid w:val="00BA1323"/>
    <w:rsid w:val="00BA35B2"/>
    <w:rsid w:val="00BA4555"/>
    <w:rsid w:val="00BA4760"/>
    <w:rsid w:val="00BA4854"/>
    <w:rsid w:val="00BA487F"/>
    <w:rsid w:val="00BB2BFC"/>
    <w:rsid w:val="00BB3A28"/>
    <w:rsid w:val="00BC1FBA"/>
    <w:rsid w:val="00BC4FE9"/>
    <w:rsid w:val="00BC65FE"/>
    <w:rsid w:val="00BE0086"/>
    <w:rsid w:val="00BE165E"/>
    <w:rsid w:val="00BE1CE9"/>
    <w:rsid w:val="00BE32B7"/>
    <w:rsid w:val="00BE3450"/>
    <w:rsid w:val="00BE5111"/>
    <w:rsid w:val="00BE61C9"/>
    <w:rsid w:val="00BF217B"/>
    <w:rsid w:val="00BF362A"/>
    <w:rsid w:val="00BF629C"/>
    <w:rsid w:val="00C04D80"/>
    <w:rsid w:val="00C10EF9"/>
    <w:rsid w:val="00C12377"/>
    <w:rsid w:val="00C21574"/>
    <w:rsid w:val="00C23F78"/>
    <w:rsid w:val="00C3670E"/>
    <w:rsid w:val="00C367CE"/>
    <w:rsid w:val="00C4249B"/>
    <w:rsid w:val="00C441E1"/>
    <w:rsid w:val="00C465ED"/>
    <w:rsid w:val="00C4732F"/>
    <w:rsid w:val="00C51496"/>
    <w:rsid w:val="00C551F4"/>
    <w:rsid w:val="00C5717E"/>
    <w:rsid w:val="00C6514D"/>
    <w:rsid w:val="00C65C23"/>
    <w:rsid w:val="00C664FB"/>
    <w:rsid w:val="00C70DB7"/>
    <w:rsid w:val="00C7447B"/>
    <w:rsid w:val="00C7577C"/>
    <w:rsid w:val="00C76537"/>
    <w:rsid w:val="00C77C1A"/>
    <w:rsid w:val="00C77EF8"/>
    <w:rsid w:val="00C816D8"/>
    <w:rsid w:val="00C82F20"/>
    <w:rsid w:val="00C83655"/>
    <w:rsid w:val="00C86251"/>
    <w:rsid w:val="00C8632F"/>
    <w:rsid w:val="00C90B24"/>
    <w:rsid w:val="00C93E49"/>
    <w:rsid w:val="00C9434F"/>
    <w:rsid w:val="00C94F6E"/>
    <w:rsid w:val="00CA521B"/>
    <w:rsid w:val="00CB0F00"/>
    <w:rsid w:val="00CC0199"/>
    <w:rsid w:val="00CC35C4"/>
    <w:rsid w:val="00CC438E"/>
    <w:rsid w:val="00CC6CDC"/>
    <w:rsid w:val="00CE0A81"/>
    <w:rsid w:val="00CE45FD"/>
    <w:rsid w:val="00CF11B6"/>
    <w:rsid w:val="00CF335B"/>
    <w:rsid w:val="00CF6B28"/>
    <w:rsid w:val="00D047A3"/>
    <w:rsid w:val="00D05B7B"/>
    <w:rsid w:val="00D11285"/>
    <w:rsid w:val="00D13E77"/>
    <w:rsid w:val="00D15044"/>
    <w:rsid w:val="00D20F74"/>
    <w:rsid w:val="00D22745"/>
    <w:rsid w:val="00D26E3A"/>
    <w:rsid w:val="00D32F56"/>
    <w:rsid w:val="00D33532"/>
    <w:rsid w:val="00D35A75"/>
    <w:rsid w:val="00D37C2E"/>
    <w:rsid w:val="00D45650"/>
    <w:rsid w:val="00D6296C"/>
    <w:rsid w:val="00D634E5"/>
    <w:rsid w:val="00D63C90"/>
    <w:rsid w:val="00D640DC"/>
    <w:rsid w:val="00D70B38"/>
    <w:rsid w:val="00D7249A"/>
    <w:rsid w:val="00D72780"/>
    <w:rsid w:val="00D748EF"/>
    <w:rsid w:val="00D82C33"/>
    <w:rsid w:val="00D84626"/>
    <w:rsid w:val="00D86A91"/>
    <w:rsid w:val="00D87DEC"/>
    <w:rsid w:val="00D902D8"/>
    <w:rsid w:val="00D9065E"/>
    <w:rsid w:val="00D91E47"/>
    <w:rsid w:val="00D92A91"/>
    <w:rsid w:val="00D94686"/>
    <w:rsid w:val="00D94958"/>
    <w:rsid w:val="00D97A44"/>
    <w:rsid w:val="00D97AE0"/>
    <w:rsid w:val="00DA092B"/>
    <w:rsid w:val="00DA11D1"/>
    <w:rsid w:val="00DA1300"/>
    <w:rsid w:val="00DA2EC7"/>
    <w:rsid w:val="00DA602D"/>
    <w:rsid w:val="00DA7547"/>
    <w:rsid w:val="00DB291D"/>
    <w:rsid w:val="00DB5FE5"/>
    <w:rsid w:val="00DB76BF"/>
    <w:rsid w:val="00DD01C6"/>
    <w:rsid w:val="00DE0A90"/>
    <w:rsid w:val="00DE6558"/>
    <w:rsid w:val="00DE7D62"/>
    <w:rsid w:val="00DF0D5C"/>
    <w:rsid w:val="00DF7209"/>
    <w:rsid w:val="00E02AC7"/>
    <w:rsid w:val="00E039DE"/>
    <w:rsid w:val="00E04828"/>
    <w:rsid w:val="00E059CE"/>
    <w:rsid w:val="00E10325"/>
    <w:rsid w:val="00E13F88"/>
    <w:rsid w:val="00E14D6F"/>
    <w:rsid w:val="00E1567E"/>
    <w:rsid w:val="00E16155"/>
    <w:rsid w:val="00E21960"/>
    <w:rsid w:val="00E23AE9"/>
    <w:rsid w:val="00E2567E"/>
    <w:rsid w:val="00E32937"/>
    <w:rsid w:val="00E32E89"/>
    <w:rsid w:val="00E34D89"/>
    <w:rsid w:val="00E3762E"/>
    <w:rsid w:val="00E42C9A"/>
    <w:rsid w:val="00E44C45"/>
    <w:rsid w:val="00E45E84"/>
    <w:rsid w:val="00E52A40"/>
    <w:rsid w:val="00E54B1E"/>
    <w:rsid w:val="00E60392"/>
    <w:rsid w:val="00E610CF"/>
    <w:rsid w:val="00E65480"/>
    <w:rsid w:val="00E65D25"/>
    <w:rsid w:val="00E65DA0"/>
    <w:rsid w:val="00E7066C"/>
    <w:rsid w:val="00E73815"/>
    <w:rsid w:val="00E74773"/>
    <w:rsid w:val="00E74E84"/>
    <w:rsid w:val="00E76469"/>
    <w:rsid w:val="00E7722A"/>
    <w:rsid w:val="00E80009"/>
    <w:rsid w:val="00E820DD"/>
    <w:rsid w:val="00E83451"/>
    <w:rsid w:val="00E83FBA"/>
    <w:rsid w:val="00E84C67"/>
    <w:rsid w:val="00E8500D"/>
    <w:rsid w:val="00E8601C"/>
    <w:rsid w:val="00E9421B"/>
    <w:rsid w:val="00E95BEF"/>
    <w:rsid w:val="00E96DFC"/>
    <w:rsid w:val="00EA6BEC"/>
    <w:rsid w:val="00EB5843"/>
    <w:rsid w:val="00EC6777"/>
    <w:rsid w:val="00ED197E"/>
    <w:rsid w:val="00ED2A70"/>
    <w:rsid w:val="00ED6F35"/>
    <w:rsid w:val="00EE4678"/>
    <w:rsid w:val="00EE5496"/>
    <w:rsid w:val="00EE5F8C"/>
    <w:rsid w:val="00EF259B"/>
    <w:rsid w:val="00EF345F"/>
    <w:rsid w:val="00EF3714"/>
    <w:rsid w:val="00F00141"/>
    <w:rsid w:val="00F101BD"/>
    <w:rsid w:val="00F17F14"/>
    <w:rsid w:val="00F200D2"/>
    <w:rsid w:val="00F20D3B"/>
    <w:rsid w:val="00F2355F"/>
    <w:rsid w:val="00F2467E"/>
    <w:rsid w:val="00F2580B"/>
    <w:rsid w:val="00F2654C"/>
    <w:rsid w:val="00F274D3"/>
    <w:rsid w:val="00F34B58"/>
    <w:rsid w:val="00F35DC9"/>
    <w:rsid w:val="00F41F5E"/>
    <w:rsid w:val="00F447FB"/>
    <w:rsid w:val="00F47E01"/>
    <w:rsid w:val="00F47EF6"/>
    <w:rsid w:val="00F5078B"/>
    <w:rsid w:val="00F52054"/>
    <w:rsid w:val="00F54421"/>
    <w:rsid w:val="00F54C68"/>
    <w:rsid w:val="00F54CB9"/>
    <w:rsid w:val="00F559C7"/>
    <w:rsid w:val="00F565D6"/>
    <w:rsid w:val="00F56C3F"/>
    <w:rsid w:val="00F56FA3"/>
    <w:rsid w:val="00F57D5F"/>
    <w:rsid w:val="00F6011C"/>
    <w:rsid w:val="00F63880"/>
    <w:rsid w:val="00F71E07"/>
    <w:rsid w:val="00F73B7C"/>
    <w:rsid w:val="00F74821"/>
    <w:rsid w:val="00F75AB7"/>
    <w:rsid w:val="00F774CB"/>
    <w:rsid w:val="00F83712"/>
    <w:rsid w:val="00F838C0"/>
    <w:rsid w:val="00F84A6C"/>
    <w:rsid w:val="00F85997"/>
    <w:rsid w:val="00F85CA3"/>
    <w:rsid w:val="00F87047"/>
    <w:rsid w:val="00F914B3"/>
    <w:rsid w:val="00F91973"/>
    <w:rsid w:val="00F94891"/>
    <w:rsid w:val="00F956B4"/>
    <w:rsid w:val="00F971D6"/>
    <w:rsid w:val="00FA3307"/>
    <w:rsid w:val="00FA389A"/>
    <w:rsid w:val="00FA4D05"/>
    <w:rsid w:val="00FB162B"/>
    <w:rsid w:val="00FB25BD"/>
    <w:rsid w:val="00FC0114"/>
    <w:rsid w:val="00FC09E1"/>
    <w:rsid w:val="00FC1A3B"/>
    <w:rsid w:val="00FD2AA2"/>
    <w:rsid w:val="00FD4334"/>
    <w:rsid w:val="00FD72CD"/>
    <w:rsid w:val="00FE3C92"/>
    <w:rsid w:val="00FE5EF7"/>
    <w:rsid w:val="00FE6BD2"/>
    <w:rsid w:val="00FF6D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E7A9-8522-407D-99F1-132A7D24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D19B0"/>
  </w:style>
  <w:style w:type="character" w:customStyle="1" w:styleId="FooterChar">
    <w:name w:val="Footer Char"/>
    <w:basedOn w:val="DefaultParagraphFont"/>
    <w:link w:val="Footer"/>
    <w:qFormat/>
    <w:rsid w:val="00FD19B0"/>
  </w:style>
  <w:style w:type="character" w:styleId="PageNumber">
    <w:name w:val="page number"/>
    <w:basedOn w:val="DefaultParagraphFont"/>
    <w:uiPriority w:val="99"/>
    <w:qFormat/>
    <w:rsid w:val="00FD19B0"/>
  </w:style>
  <w:style w:type="character" w:styleId="Hyperlink">
    <w:name w:val="Hyperlink"/>
    <w:basedOn w:val="DefaultParagraphFont"/>
    <w:uiPriority w:val="99"/>
    <w:unhideWhenUsed/>
    <w:rsid w:val="00A558FA"/>
    <w:rPr>
      <w:b/>
      <w:bCs/>
      <w:color w:val="333399"/>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280B82"/>
    <w:rPr>
      <w:rFonts w:ascii="EUAlbertina" w:hAnsi="EUAlbertina" w:cs="EUAlbertina"/>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D19B0"/>
    <w:pPr>
      <w:tabs>
        <w:tab w:val="center" w:pos="4680"/>
        <w:tab w:val="right" w:pos="9360"/>
      </w:tabs>
      <w:spacing w:after="0" w:line="240" w:lineRule="auto"/>
    </w:pPr>
  </w:style>
  <w:style w:type="paragraph" w:styleId="Footer">
    <w:name w:val="footer"/>
    <w:basedOn w:val="Normal"/>
    <w:link w:val="FooterChar"/>
    <w:unhideWhenUsed/>
    <w:rsid w:val="00FD19B0"/>
    <w:pPr>
      <w:tabs>
        <w:tab w:val="center" w:pos="4680"/>
        <w:tab w:val="right" w:pos="9360"/>
      </w:tabs>
      <w:spacing w:after="0" w:line="240" w:lineRule="auto"/>
    </w:pPr>
  </w:style>
  <w:style w:type="paragraph" w:styleId="ListParagraph">
    <w:name w:val="List Paragraph"/>
    <w:basedOn w:val="Normal"/>
    <w:uiPriority w:val="34"/>
    <w:qFormat/>
    <w:rsid w:val="00185D4E"/>
    <w:pPr>
      <w:ind w:left="720"/>
      <w:contextualSpacing/>
    </w:pPr>
  </w:style>
  <w:style w:type="paragraph" w:customStyle="1" w:styleId="oj-sti-art">
    <w:name w:val="oj-sti-art"/>
    <w:basedOn w:val="Normal"/>
    <w:rsid w:val="0055140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551401"/>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A9771C"/>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D35A75"/>
  </w:style>
  <w:style w:type="paragraph" w:styleId="BalloonText">
    <w:name w:val="Balloon Text"/>
    <w:basedOn w:val="Normal"/>
    <w:link w:val="BalloonTextChar"/>
    <w:uiPriority w:val="99"/>
    <w:semiHidden/>
    <w:unhideWhenUsed/>
    <w:rsid w:val="00342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94"/>
    <w:rPr>
      <w:rFonts w:ascii="Segoe UI" w:hAnsi="Segoe UI" w:cs="Segoe UI"/>
      <w:sz w:val="18"/>
      <w:szCs w:val="18"/>
    </w:rPr>
  </w:style>
  <w:style w:type="character" w:customStyle="1" w:styleId="tpa1">
    <w:name w:val="tpa1"/>
    <w:basedOn w:val="DefaultParagraphFont"/>
    <w:rsid w:val="00424202"/>
  </w:style>
  <w:style w:type="character" w:styleId="CommentReference">
    <w:name w:val="annotation reference"/>
    <w:rsid w:val="001225D8"/>
    <w:rPr>
      <w:sz w:val="16"/>
      <w:szCs w:val="16"/>
    </w:rPr>
  </w:style>
  <w:style w:type="paragraph" w:styleId="CommentText">
    <w:name w:val="annotation text"/>
    <w:basedOn w:val="Normal"/>
    <w:link w:val="CommentTextChar"/>
    <w:rsid w:val="001225D8"/>
    <w:pPr>
      <w:suppressAutoHyphens w:val="0"/>
      <w:spacing w:after="16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1225D8"/>
    <w:rPr>
      <w:rFonts w:ascii="Calibri" w:eastAsia="Calibri" w:hAnsi="Calibri" w:cs="Calibri"/>
      <w:sz w:val="20"/>
      <w:szCs w:val="20"/>
    </w:rPr>
  </w:style>
  <w:style w:type="character" w:customStyle="1" w:styleId="tal1">
    <w:name w:val="tal1"/>
    <w:basedOn w:val="DefaultParagraphFont"/>
    <w:rsid w:val="00CC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60574">
      <w:bodyDiv w:val="1"/>
      <w:marLeft w:val="0"/>
      <w:marRight w:val="0"/>
      <w:marTop w:val="0"/>
      <w:marBottom w:val="0"/>
      <w:divBdr>
        <w:top w:val="none" w:sz="0" w:space="0" w:color="auto"/>
        <w:left w:val="none" w:sz="0" w:space="0" w:color="auto"/>
        <w:bottom w:val="none" w:sz="0" w:space="0" w:color="auto"/>
        <w:right w:val="none" w:sz="0" w:space="0" w:color="auto"/>
      </w:divBdr>
    </w:div>
    <w:div w:id="902256189">
      <w:bodyDiv w:val="1"/>
      <w:marLeft w:val="0"/>
      <w:marRight w:val="0"/>
      <w:marTop w:val="0"/>
      <w:marBottom w:val="0"/>
      <w:divBdr>
        <w:top w:val="none" w:sz="0" w:space="0" w:color="auto"/>
        <w:left w:val="none" w:sz="0" w:space="0" w:color="auto"/>
        <w:bottom w:val="none" w:sz="0" w:space="0" w:color="auto"/>
        <w:right w:val="none" w:sz="0" w:space="0" w:color="auto"/>
      </w:divBdr>
      <w:divsChild>
        <w:div w:id="882443049">
          <w:marLeft w:val="0"/>
          <w:marRight w:val="0"/>
          <w:marTop w:val="0"/>
          <w:marBottom w:val="0"/>
          <w:divBdr>
            <w:top w:val="none" w:sz="0" w:space="0" w:color="auto"/>
            <w:left w:val="none" w:sz="0" w:space="0" w:color="auto"/>
            <w:bottom w:val="none" w:sz="0" w:space="0" w:color="auto"/>
            <w:right w:val="none" w:sz="0" w:space="0" w:color="auto"/>
          </w:divBdr>
          <w:divsChild>
            <w:div w:id="1693336789">
              <w:marLeft w:val="0"/>
              <w:marRight w:val="0"/>
              <w:marTop w:val="0"/>
              <w:marBottom w:val="0"/>
              <w:divBdr>
                <w:top w:val="dashed" w:sz="2" w:space="0" w:color="FFFFFF"/>
                <w:left w:val="dashed" w:sz="2" w:space="0" w:color="FFFFFF"/>
                <w:bottom w:val="dashed" w:sz="2" w:space="0" w:color="FFFFFF"/>
                <w:right w:val="dashed" w:sz="2" w:space="0" w:color="FFFFFF"/>
              </w:divBdr>
              <w:divsChild>
                <w:div w:id="827090964">
                  <w:marLeft w:val="0"/>
                  <w:marRight w:val="0"/>
                  <w:marTop w:val="0"/>
                  <w:marBottom w:val="0"/>
                  <w:divBdr>
                    <w:top w:val="dashed" w:sz="2" w:space="0" w:color="FFFFFF"/>
                    <w:left w:val="dashed" w:sz="2" w:space="0" w:color="FFFFFF"/>
                    <w:bottom w:val="dashed" w:sz="2" w:space="0" w:color="FFFFFF"/>
                    <w:right w:val="dashed" w:sz="2" w:space="0" w:color="FFFFFF"/>
                  </w:divBdr>
                  <w:divsChild>
                    <w:div w:id="1466855804">
                      <w:marLeft w:val="0"/>
                      <w:marRight w:val="0"/>
                      <w:marTop w:val="0"/>
                      <w:marBottom w:val="0"/>
                      <w:divBdr>
                        <w:top w:val="dashed" w:sz="2" w:space="0" w:color="FFFFFF"/>
                        <w:left w:val="dashed" w:sz="2" w:space="0" w:color="FFFFFF"/>
                        <w:bottom w:val="dashed" w:sz="2" w:space="0" w:color="FFFFFF"/>
                        <w:right w:val="dashed" w:sz="2" w:space="0" w:color="FFFFFF"/>
                      </w:divBdr>
                      <w:divsChild>
                        <w:div w:id="1188175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16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18145299">
      <w:bodyDiv w:val="1"/>
      <w:marLeft w:val="0"/>
      <w:marRight w:val="0"/>
      <w:marTop w:val="0"/>
      <w:marBottom w:val="0"/>
      <w:divBdr>
        <w:top w:val="none" w:sz="0" w:space="0" w:color="auto"/>
        <w:left w:val="none" w:sz="0" w:space="0" w:color="auto"/>
        <w:bottom w:val="none" w:sz="0" w:space="0" w:color="auto"/>
        <w:right w:val="none" w:sz="0" w:space="0" w:color="auto"/>
      </w:divBdr>
    </w:div>
    <w:div w:id="1637680035">
      <w:bodyDiv w:val="1"/>
      <w:marLeft w:val="0"/>
      <w:marRight w:val="0"/>
      <w:marTop w:val="0"/>
      <w:marBottom w:val="0"/>
      <w:divBdr>
        <w:top w:val="none" w:sz="0" w:space="0" w:color="auto"/>
        <w:left w:val="none" w:sz="0" w:space="0" w:color="auto"/>
        <w:bottom w:val="none" w:sz="0" w:space="0" w:color="auto"/>
        <w:right w:val="none" w:sz="0" w:space="0" w:color="auto"/>
      </w:divBdr>
    </w:div>
    <w:div w:id="1720939355">
      <w:bodyDiv w:val="1"/>
      <w:marLeft w:val="0"/>
      <w:marRight w:val="0"/>
      <w:marTop w:val="0"/>
      <w:marBottom w:val="0"/>
      <w:divBdr>
        <w:top w:val="none" w:sz="0" w:space="0" w:color="auto"/>
        <w:left w:val="none" w:sz="0" w:space="0" w:color="auto"/>
        <w:bottom w:val="none" w:sz="0" w:space="0" w:color="auto"/>
        <w:right w:val="none" w:sz="0" w:space="0" w:color="auto"/>
      </w:divBdr>
      <w:divsChild>
        <w:div w:id="2136560261">
          <w:marLeft w:val="0"/>
          <w:marRight w:val="0"/>
          <w:marTop w:val="0"/>
          <w:marBottom w:val="0"/>
          <w:divBdr>
            <w:top w:val="none" w:sz="0" w:space="0" w:color="auto"/>
            <w:left w:val="none" w:sz="0" w:space="0" w:color="auto"/>
            <w:bottom w:val="none" w:sz="0" w:space="0" w:color="auto"/>
            <w:right w:val="none" w:sz="0" w:space="0" w:color="auto"/>
          </w:divBdr>
        </w:div>
        <w:div w:id="1620717566">
          <w:marLeft w:val="0"/>
          <w:marRight w:val="0"/>
          <w:marTop w:val="0"/>
          <w:marBottom w:val="0"/>
          <w:divBdr>
            <w:top w:val="none" w:sz="0" w:space="0" w:color="auto"/>
            <w:left w:val="none" w:sz="0" w:space="0" w:color="auto"/>
            <w:bottom w:val="none" w:sz="0" w:space="0" w:color="auto"/>
            <w:right w:val="none" w:sz="0" w:space="0" w:color="auto"/>
          </w:divBdr>
        </w:div>
        <w:div w:id="1178274966">
          <w:marLeft w:val="0"/>
          <w:marRight w:val="0"/>
          <w:marTop w:val="0"/>
          <w:marBottom w:val="0"/>
          <w:divBdr>
            <w:top w:val="none" w:sz="0" w:space="0" w:color="auto"/>
            <w:left w:val="none" w:sz="0" w:space="0" w:color="auto"/>
            <w:bottom w:val="none" w:sz="0" w:space="0" w:color="auto"/>
            <w:right w:val="none" w:sz="0" w:space="0" w:color="auto"/>
          </w:divBdr>
        </w:div>
      </w:divsChild>
    </w:div>
    <w:div w:id="1896965143">
      <w:bodyDiv w:val="1"/>
      <w:marLeft w:val="0"/>
      <w:marRight w:val="0"/>
      <w:marTop w:val="0"/>
      <w:marBottom w:val="0"/>
      <w:divBdr>
        <w:top w:val="none" w:sz="0" w:space="0" w:color="auto"/>
        <w:left w:val="none" w:sz="0" w:space="0" w:color="auto"/>
        <w:bottom w:val="none" w:sz="0" w:space="0" w:color="auto"/>
        <w:right w:val="none" w:sz="0" w:space="0" w:color="auto"/>
      </w:divBdr>
    </w:div>
    <w:div w:id="1978336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525204.0\cache\Legislatia%252520Uniunii%252520Europene\temp267672\12043176.htm" TargetMode="External"/><Relationship Id="rId13" Type="http://schemas.openxmlformats.org/officeDocument/2006/relationships/hyperlink" Target="file://C:\Users\User\sintact%2525204.0\cache\Legislatia%252520Uniunii%252520Europene\temp267672\12022723.htm" TargetMode="External"/><Relationship Id="rId18" Type="http://schemas.openxmlformats.org/officeDocument/2006/relationships/hyperlink" Target="file://C:\Users\User\sintact%2525204.0\cache\Legislatia%252520Uniunii%252520Europene\temp267672\12030339.htm" TargetMode="External"/><Relationship Id="rId26" Type="http://schemas.openxmlformats.org/officeDocument/2006/relationships/hyperlink" Target="file://C:\Users\User\sintact%2525204.0\cache\Legislatia%252520Uniunii%252520Europene\temp267672\12005224.htm" TargetMode="External"/><Relationship Id="rId3" Type="http://schemas.openxmlformats.org/officeDocument/2006/relationships/styles" Target="styles.xml"/><Relationship Id="rId21" Type="http://schemas.openxmlformats.org/officeDocument/2006/relationships/hyperlink" Target="file://C:\Users\User\sintact%2525204.0\cache\Legislatia%252520Uniunii%252520Europene\temp267672\12017054.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sintact%2525204.0\cache\Legislatia%252520Uniunii%252520Europene\temp267672\12038710.htm" TargetMode="External"/><Relationship Id="rId17" Type="http://schemas.openxmlformats.org/officeDocument/2006/relationships/hyperlink" Target="file://C:\Users\User\sintact%2525204.0\cache\Legislatia%252520Uniunii%252520Europene\temp267672\12045068.htm" TargetMode="External"/><Relationship Id="rId25" Type="http://schemas.openxmlformats.org/officeDocument/2006/relationships/hyperlink" Target="file://C:\Users\User\sintact%2525204.0\cache\Legislatia%252520Uniunii%252520Europene\temp267672\12005223.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sintact%2525204.0\cache\Legislatia%252520Uniunii%252520Europene\temp267672\12030339.htm" TargetMode="External"/><Relationship Id="rId20" Type="http://schemas.openxmlformats.org/officeDocument/2006/relationships/hyperlink" Target="file://C:\Users\User\sintact%2525204.0\cache\Legislatia%252520Uniunii%252520Europene\temp267672\12017054.htm" TargetMode="External"/><Relationship Id="rId29" Type="http://schemas.openxmlformats.org/officeDocument/2006/relationships/hyperlink" Target="file://C:\Users\User\sintact%2525204.0\cache\Legislatia%252520Uniunii%252520Europene\temp267672\120506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intact%2525204.0\cache\Legislatia%252520Uniunii%252520Europene\temp267672\12040123.htm" TargetMode="External"/><Relationship Id="rId24" Type="http://schemas.openxmlformats.org/officeDocument/2006/relationships/hyperlink" Target="file://C:\Users\User\sintact%2525204.0\cache\Legislatia%252520Uniunii%252520Europene\temp267672\12005224.htm" TargetMode="External"/><Relationship Id="rId32" Type="http://schemas.openxmlformats.org/officeDocument/2006/relationships/hyperlink" Target="file://C:\Users\User\sintact%2525204.0\cache\Legislatia%252520Uniunii%252520Europene\temp267672\12045068.htm" TargetMode="External"/><Relationship Id="rId5" Type="http://schemas.openxmlformats.org/officeDocument/2006/relationships/webSettings" Target="webSettings.xml"/><Relationship Id="rId15" Type="http://schemas.openxmlformats.org/officeDocument/2006/relationships/hyperlink" Target="file://C:\Users\User\sintact%2525204.0\cache\Legislatia%252520Uniunii%252520Europene\temp267672\12045068.htm" TargetMode="External"/><Relationship Id="rId23" Type="http://schemas.openxmlformats.org/officeDocument/2006/relationships/hyperlink" Target="file://C:\Users\User\sintact%2525204.0\cache\Legislatia%252520Uniunii%252520Europene\temp267672\12005224.htm" TargetMode="External"/><Relationship Id="rId28" Type="http://schemas.openxmlformats.org/officeDocument/2006/relationships/hyperlink" Target="file://C:\Users\User\sintact%2525204.0\cache\Legislatia%252520Uniunii%252520Europene\temp267672\12030339.htm" TargetMode="External"/><Relationship Id="rId10" Type="http://schemas.openxmlformats.org/officeDocument/2006/relationships/hyperlink" Target="file://C:\Users\User\sintact%2525204.0\cache\Legislatia%252520Uniunii%252520Europene\temp267672\12038710.htm" TargetMode="External"/><Relationship Id="rId19" Type="http://schemas.openxmlformats.org/officeDocument/2006/relationships/hyperlink" Target="file://C:\Users\User\sintact%2525204.0\cache\Legislatia%252520Uniunii%252520Europene\temp267672\12045069.htm" TargetMode="External"/><Relationship Id="rId31" Type="http://schemas.openxmlformats.org/officeDocument/2006/relationships/hyperlink" Target="file://C:\Users\User\sintact%2525204.0\cache\Legislatia%252520Uniunii%252520Europene\temp267672\12050658.htm" TargetMode="External"/><Relationship Id="rId4" Type="http://schemas.openxmlformats.org/officeDocument/2006/relationships/settings" Target="settings.xml"/><Relationship Id="rId9" Type="http://schemas.openxmlformats.org/officeDocument/2006/relationships/hyperlink" Target="file://C:\Users\User\sintact%2525204.0\cache\Legislatia%252520Uniunii%252520Europene\temp267672\12043176.htm" TargetMode="External"/><Relationship Id="rId14" Type="http://schemas.openxmlformats.org/officeDocument/2006/relationships/hyperlink" Target="file://C:\Users\User\sintact%2525204.0\cache\Legislatia%252520Uniunii%252520Europene\temp267672\12040123.htm" TargetMode="External"/><Relationship Id="rId22" Type="http://schemas.openxmlformats.org/officeDocument/2006/relationships/hyperlink" Target="file://C:\Users\User\sintact%2525204.0\cache\Legislatia%252520Uniunii%252520Europene\temp267672\12045068.htm" TargetMode="External"/><Relationship Id="rId27" Type="http://schemas.openxmlformats.org/officeDocument/2006/relationships/hyperlink" Target="file://C:\Users\User\sintact%2525204.0\cache\Legislatia%252520Uniunii%252520Europene\temp267672\12045068.htm" TargetMode="External"/><Relationship Id="rId30" Type="http://schemas.openxmlformats.org/officeDocument/2006/relationships/hyperlink" Target="file://C:\Users\User\sintact%2525204.0\cache\Legislatia%252520Uniunii%252520Europene\temp267672\12045068.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C34E-F95F-4723-8560-F9F4ABA4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18248</Words>
  <Characters>104016</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Claudia Lupescu</cp:lastModifiedBy>
  <cp:revision>3</cp:revision>
  <cp:lastPrinted>2021-05-24T06:46:00Z</cp:lastPrinted>
  <dcterms:created xsi:type="dcterms:W3CDTF">2021-07-14T10:36:00Z</dcterms:created>
  <dcterms:modified xsi:type="dcterms:W3CDTF">2021-07-14T11:12:00Z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